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08" w:rsidRPr="00111069" w:rsidRDefault="006D0A08" w:rsidP="00DE66FD">
      <w:pPr>
        <w:spacing w:line="276" w:lineRule="auto"/>
        <w:jc w:val="center"/>
        <w:outlineLvl w:val="0"/>
        <w:rPr>
          <w:b/>
          <w:bCs/>
          <w:i/>
          <w:iCs/>
          <w:sz w:val="28"/>
          <w:szCs w:val="28"/>
        </w:rPr>
      </w:pPr>
      <w:r w:rsidRPr="00111069">
        <w:rPr>
          <w:b/>
          <w:bCs/>
          <w:i/>
          <w:iCs/>
          <w:sz w:val="28"/>
          <w:szCs w:val="28"/>
        </w:rPr>
        <w:t xml:space="preserve">Vyhodnotenie pripomienok spoločnosti Orange Slovensko, a.s. </w:t>
      </w:r>
    </w:p>
    <w:p w:rsidR="006D0A08" w:rsidRPr="00111069" w:rsidRDefault="006D0A08" w:rsidP="00DE66FD">
      <w:pPr>
        <w:spacing w:line="276" w:lineRule="auto"/>
        <w:jc w:val="center"/>
        <w:outlineLvl w:val="0"/>
        <w:rPr>
          <w:b/>
          <w:i/>
          <w:iCs/>
          <w:sz w:val="28"/>
          <w:szCs w:val="28"/>
        </w:rPr>
      </w:pPr>
      <w:r w:rsidRPr="00111069">
        <w:rPr>
          <w:b/>
          <w:bCs/>
          <w:i/>
          <w:iCs/>
          <w:sz w:val="28"/>
          <w:szCs w:val="28"/>
        </w:rPr>
        <w:t xml:space="preserve">k výsledku analýzy </w:t>
      </w:r>
      <w:r w:rsidRPr="00111069">
        <w:rPr>
          <w:b/>
          <w:i/>
          <w:iCs/>
          <w:sz w:val="28"/>
          <w:szCs w:val="28"/>
        </w:rPr>
        <w:t>relevantného trhu č. 3</w:t>
      </w:r>
    </w:p>
    <w:p w:rsidR="006D0A08" w:rsidRDefault="006D0A08" w:rsidP="00DE66FD">
      <w:pPr>
        <w:spacing w:line="276" w:lineRule="auto"/>
        <w:ind w:right="-136" w:firstLine="708"/>
        <w:jc w:val="both"/>
      </w:pPr>
    </w:p>
    <w:p w:rsidR="00F82512" w:rsidRDefault="00F82512" w:rsidP="00DE66FD">
      <w:pPr>
        <w:spacing w:line="276" w:lineRule="auto"/>
        <w:ind w:right="-136" w:firstLine="708"/>
        <w:jc w:val="both"/>
      </w:pPr>
    </w:p>
    <w:p w:rsidR="006D0A08" w:rsidRDefault="006D0A08" w:rsidP="00DE66FD">
      <w:pPr>
        <w:spacing w:line="276" w:lineRule="auto"/>
        <w:ind w:right="-136" w:firstLine="708"/>
        <w:jc w:val="both"/>
      </w:pPr>
    </w:p>
    <w:p w:rsidR="006D0A08" w:rsidRDefault="006D0A08" w:rsidP="00DE66FD">
      <w:pPr>
        <w:spacing w:line="276" w:lineRule="auto"/>
        <w:ind w:right="-136" w:firstLine="708"/>
        <w:jc w:val="both"/>
      </w:pPr>
    </w:p>
    <w:p w:rsidR="004F3DF3" w:rsidRPr="004F3DF3" w:rsidRDefault="004F3DF3" w:rsidP="00DE66FD">
      <w:pPr>
        <w:spacing w:line="276" w:lineRule="auto"/>
        <w:ind w:firstLine="708"/>
        <w:jc w:val="both"/>
        <w:rPr>
          <w:sz w:val="24"/>
          <w:szCs w:val="24"/>
        </w:rPr>
      </w:pPr>
      <w:r w:rsidRPr="004F3DF3">
        <w:rPr>
          <w:sz w:val="24"/>
          <w:szCs w:val="24"/>
        </w:rPr>
        <w:t>Telekomunikačný úrad Slovenskej republiky (ďalej len „úrad“) na svojom verejne dostupnom webovom sídle  (</w:t>
      </w:r>
      <w:hyperlink r:id="rId9" w:history="1">
        <w:r w:rsidRPr="004F3DF3">
          <w:rPr>
            <w:rStyle w:val="Hypertextovprepojenie"/>
            <w:sz w:val="24"/>
            <w:szCs w:val="24"/>
          </w:rPr>
          <w:t>http://www.teleoff.gov.sk/data/files/31811.pdf</w:t>
        </w:r>
      </w:hyperlink>
      <w:r w:rsidRPr="004F3DF3">
        <w:rPr>
          <w:sz w:val="24"/>
          <w:szCs w:val="24"/>
        </w:rPr>
        <w:t xml:space="preserve"> ) zverejnil dňa 25.02.2013 výsledky analýzy veľkoobchodného poskytovania služby ukončovania volania v jednotlivých verejných telefónnych sieťach v pevnom umiestnení, ktorá spočíva v prenose volania smerovaného ku koncovému užívateľovi verejnej telefónnej služby na pevnom mieste pripojenia z bodu prepojenia medzi dvoma pevnými sieťami alebo medzi pevnou a mobilnou sieťou do koncového bodu pevnej verejnej telefónnej siete určeného špecifickou sieťovou adresou (ďalej len „relevantný trh č. 3“) a zároveň stanovil lehotu najneskôr do 26.03.2013 na predloženie písomných pripomienok k tejto analýze. </w:t>
      </w:r>
      <w:r w:rsidR="000378BA">
        <w:rPr>
          <w:sz w:val="24"/>
          <w:szCs w:val="24"/>
        </w:rPr>
        <w:t>Ú</w:t>
      </w:r>
      <w:r w:rsidRPr="004F3DF3">
        <w:rPr>
          <w:sz w:val="24"/>
          <w:szCs w:val="24"/>
        </w:rPr>
        <w:t xml:space="preserve">rad </w:t>
      </w:r>
      <w:r w:rsidR="000378BA">
        <w:rPr>
          <w:sz w:val="24"/>
          <w:szCs w:val="24"/>
        </w:rPr>
        <w:t xml:space="preserve">súčasne </w:t>
      </w:r>
      <w:r w:rsidRPr="004F3DF3">
        <w:rPr>
          <w:sz w:val="24"/>
          <w:szCs w:val="24"/>
        </w:rPr>
        <w:t xml:space="preserve">zverejnil na svojom verejne dostupnom webovom sídle Výzvu na podávanie pripomienok k výsledkom analýzy relevantného trhu č. 3. Záverom opakovanej analýzy predmetného trhu bolo určenie 13 spoločností za významný podnik a uloženie povinností na relevantnom trhu č. 3. Spoločnosti Slovak Telekom, </w:t>
      </w:r>
      <w:proofErr w:type="spellStart"/>
      <w:r w:rsidRPr="004F3DF3">
        <w:rPr>
          <w:sz w:val="24"/>
          <w:szCs w:val="24"/>
        </w:rPr>
        <w:t>a.s</w:t>
      </w:r>
      <w:proofErr w:type="spellEnd"/>
      <w:r w:rsidRPr="004F3DF3">
        <w:rPr>
          <w:sz w:val="24"/>
          <w:szCs w:val="24"/>
        </w:rPr>
        <w:t xml:space="preserve">, </w:t>
      </w:r>
      <w:proofErr w:type="spellStart"/>
      <w:r w:rsidRPr="004F3DF3">
        <w:rPr>
          <w:sz w:val="24"/>
          <w:szCs w:val="24"/>
        </w:rPr>
        <w:t>Antik</w:t>
      </w:r>
      <w:proofErr w:type="spellEnd"/>
      <w:r w:rsidRPr="004F3DF3">
        <w:rPr>
          <w:sz w:val="24"/>
          <w:szCs w:val="24"/>
        </w:rPr>
        <w:t xml:space="preserve"> Telecom, s.r.o., GTS Slovakia, s.r.o., DH Telecom, s.r.o., </w:t>
      </w:r>
      <w:proofErr w:type="spellStart"/>
      <w:r w:rsidRPr="004F3DF3">
        <w:rPr>
          <w:sz w:val="24"/>
          <w:szCs w:val="24"/>
        </w:rPr>
        <w:t>Inomanet</w:t>
      </w:r>
      <w:proofErr w:type="spellEnd"/>
      <w:r w:rsidRPr="004F3DF3">
        <w:rPr>
          <w:sz w:val="24"/>
          <w:szCs w:val="24"/>
        </w:rPr>
        <w:t xml:space="preserve">, s.r.o., </w:t>
      </w:r>
      <w:proofErr w:type="spellStart"/>
      <w:r w:rsidRPr="004F3DF3">
        <w:rPr>
          <w:sz w:val="24"/>
          <w:szCs w:val="24"/>
        </w:rPr>
        <w:t>IPfon</w:t>
      </w:r>
      <w:proofErr w:type="spellEnd"/>
      <w:r w:rsidRPr="004F3DF3">
        <w:rPr>
          <w:sz w:val="24"/>
          <w:szCs w:val="24"/>
        </w:rPr>
        <w:t xml:space="preserve">, s.r.o., Orange Slovensko, a.s., Slovanet, a.s., Swan, a.s., Trnavatel, s. r.o., UPC Broadband Slovakia, s.r.o., VM Telecom, s.r.o. a ŽSR – ŽT, </w:t>
      </w:r>
      <w:proofErr w:type="spellStart"/>
      <w:r w:rsidRPr="004F3DF3">
        <w:rPr>
          <w:sz w:val="24"/>
          <w:szCs w:val="24"/>
        </w:rPr>
        <w:t>o.z</w:t>
      </w:r>
      <w:proofErr w:type="spellEnd"/>
      <w:r w:rsidRPr="004F3DF3">
        <w:rPr>
          <w:sz w:val="24"/>
          <w:szCs w:val="24"/>
        </w:rPr>
        <w:t>. boli v analýze navrhnuté za podnik s významným vplyvom na relevantnom trhu č. 3 a po ukončení konzultačného procesu po zohľadnení pripomienok EK bude každá z uvedených spoločností určená za významný podnik na relevantnom trhu č. 3 a budú jej uložené povinnosti. Analýza bola doručená aj Protimonopolnému úradu SR.</w:t>
      </w:r>
    </w:p>
    <w:p w:rsidR="004F3DF3" w:rsidRPr="004F3DF3" w:rsidRDefault="004F3DF3" w:rsidP="00DE66FD">
      <w:pPr>
        <w:spacing w:line="276" w:lineRule="auto"/>
        <w:ind w:firstLine="708"/>
        <w:jc w:val="both"/>
        <w:rPr>
          <w:sz w:val="24"/>
          <w:szCs w:val="24"/>
        </w:rPr>
      </w:pPr>
    </w:p>
    <w:p w:rsidR="000378BA" w:rsidRDefault="004F3DF3" w:rsidP="005A3CF5">
      <w:pPr>
        <w:spacing w:line="276" w:lineRule="auto"/>
        <w:ind w:firstLine="708"/>
        <w:jc w:val="both"/>
        <w:rPr>
          <w:sz w:val="24"/>
          <w:szCs w:val="24"/>
        </w:rPr>
      </w:pPr>
      <w:r w:rsidRPr="004F3DF3">
        <w:rPr>
          <w:sz w:val="24"/>
          <w:szCs w:val="24"/>
        </w:rPr>
        <w:t>V stanovenej lehote boli úradu doručené pripomienky spoločnosti Slovak Telekom, a.s., Orange Slovensko, a.s. a Protimonopolného úradu SR.</w:t>
      </w:r>
    </w:p>
    <w:p w:rsidR="000378BA" w:rsidRDefault="000378BA" w:rsidP="005A3CF5">
      <w:pPr>
        <w:spacing w:line="276" w:lineRule="auto"/>
        <w:ind w:firstLine="708"/>
        <w:jc w:val="both"/>
        <w:rPr>
          <w:sz w:val="24"/>
          <w:szCs w:val="24"/>
        </w:rPr>
      </w:pPr>
    </w:p>
    <w:p w:rsidR="004F3DF3" w:rsidRPr="004F3DF3" w:rsidRDefault="004F3DF3" w:rsidP="005A3CF5">
      <w:pPr>
        <w:spacing w:line="276" w:lineRule="auto"/>
        <w:ind w:firstLine="708"/>
        <w:jc w:val="both"/>
        <w:rPr>
          <w:sz w:val="24"/>
          <w:szCs w:val="24"/>
        </w:rPr>
      </w:pPr>
      <w:r w:rsidRPr="004F3DF3">
        <w:rPr>
          <w:sz w:val="24"/>
          <w:szCs w:val="24"/>
        </w:rPr>
        <w:t>Protimonopolný úrad SR vo svojom stanovisku uviedol, že  k analýze relevantného trhu č. 3 vykonanej úradom nemá žiadne pripomienky.</w:t>
      </w:r>
    </w:p>
    <w:p w:rsidR="006D0A08" w:rsidRPr="006D0A08" w:rsidRDefault="006D0A08" w:rsidP="00DE66FD">
      <w:pPr>
        <w:spacing w:line="276" w:lineRule="auto"/>
        <w:ind w:firstLine="708"/>
        <w:jc w:val="both"/>
        <w:rPr>
          <w:sz w:val="24"/>
          <w:szCs w:val="24"/>
        </w:rPr>
      </w:pPr>
    </w:p>
    <w:p w:rsidR="006D0A08" w:rsidRPr="006D0A08" w:rsidRDefault="006D0A08" w:rsidP="005A3CF5">
      <w:pPr>
        <w:spacing w:line="276" w:lineRule="auto"/>
        <w:ind w:firstLine="708"/>
        <w:jc w:val="both"/>
        <w:rPr>
          <w:sz w:val="24"/>
          <w:szCs w:val="24"/>
        </w:rPr>
      </w:pPr>
      <w:r w:rsidRPr="006D0A08">
        <w:rPr>
          <w:sz w:val="24"/>
          <w:szCs w:val="24"/>
        </w:rPr>
        <w:t xml:space="preserve">Spoločnosť </w:t>
      </w:r>
      <w:r w:rsidR="00434C93">
        <w:rPr>
          <w:sz w:val="24"/>
          <w:szCs w:val="24"/>
        </w:rPr>
        <w:t xml:space="preserve">Orange </w:t>
      </w:r>
      <w:r w:rsidRPr="006D0A08">
        <w:rPr>
          <w:sz w:val="24"/>
          <w:szCs w:val="24"/>
        </w:rPr>
        <w:t>Slov</w:t>
      </w:r>
      <w:r w:rsidR="00434C93">
        <w:rPr>
          <w:sz w:val="24"/>
          <w:szCs w:val="24"/>
        </w:rPr>
        <w:t>ensko,</w:t>
      </w:r>
      <w:r w:rsidRPr="006D0A08">
        <w:rPr>
          <w:sz w:val="24"/>
          <w:szCs w:val="24"/>
        </w:rPr>
        <w:t xml:space="preserve"> a.s. (ďalej len „</w:t>
      </w:r>
      <w:r w:rsidR="00434C93">
        <w:rPr>
          <w:sz w:val="24"/>
          <w:szCs w:val="24"/>
        </w:rPr>
        <w:t>Orange</w:t>
      </w:r>
      <w:r w:rsidRPr="006D0A08">
        <w:rPr>
          <w:sz w:val="24"/>
          <w:szCs w:val="24"/>
        </w:rPr>
        <w:t xml:space="preserve">“) </w:t>
      </w:r>
      <w:r w:rsidR="0085750C">
        <w:rPr>
          <w:sz w:val="24"/>
          <w:szCs w:val="24"/>
        </w:rPr>
        <w:t xml:space="preserve">doručila </w:t>
      </w:r>
      <w:r w:rsidR="0085750C" w:rsidRPr="006D0A08">
        <w:rPr>
          <w:sz w:val="24"/>
          <w:szCs w:val="24"/>
        </w:rPr>
        <w:t xml:space="preserve">dňa </w:t>
      </w:r>
      <w:r w:rsidR="0085750C">
        <w:rPr>
          <w:sz w:val="24"/>
          <w:szCs w:val="24"/>
        </w:rPr>
        <w:t>26</w:t>
      </w:r>
      <w:r w:rsidR="0085750C" w:rsidRPr="006D0A08">
        <w:rPr>
          <w:sz w:val="24"/>
          <w:szCs w:val="24"/>
        </w:rPr>
        <w:t>.</w:t>
      </w:r>
      <w:r w:rsidR="0085750C">
        <w:rPr>
          <w:sz w:val="24"/>
          <w:szCs w:val="24"/>
        </w:rPr>
        <w:t>03</w:t>
      </w:r>
      <w:r w:rsidR="0085750C" w:rsidRPr="006D0A08">
        <w:rPr>
          <w:sz w:val="24"/>
          <w:szCs w:val="24"/>
        </w:rPr>
        <w:t>.201</w:t>
      </w:r>
      <w:r w:rsidR="0085750C">
        <w:rPr>
          <w:sz w:val="24"/>
          <w:szCs w:val="24"/>
        </w:rPr>
        <w:t>3</w:t>
      </w:r>
      <w:r w:rsidR="00A7525B">
        <w:rPr>
          <w:sz w:val="24"/>
          <w:szCs w:val="24"/>
        </w:rPr>
        <w:t xml:space="preserve"> </w:t>
      </w:r>
      <w:r w:rsidRPr="006D0A08">
        <w:rPr>
          <w:sz w:val="24"/>
          <w:szCs w:val="24"/>
        </w:rPr>
        <w:t>svoje pripomienky listom zaevidovaným úradom pod č. 19</w:t>
      </w:r>
      <w:r w:rsidR="00AB5A0C">
        <w:rPr>
          <w:sz w:val="24"/>
          <w:szCs w:val="24"/>
        </w:rPr>
        <w:t>1</w:t>
      </w:r>
      <w:r w:rsidRPr="006D0A08">
        <w:rPr>
          <w:sz w:val="24"/>
          <w:szCs w:val="24"/>
        </w:rPr>
        <w:t>/OER/201</w:t>
      </w:r>
      <w:r w:rsidR="00AB5A0C">
        <w:rPr>
          <w:sz w:val="24"/>
          <w:szCs w:val="24"/>
        </w:rPr>
        <w:t>3</w:t>
      </w:r>
      <w:r w:rsidR="005C1429">
        <w:rPr>
          <w:sz w:val="24"/>
          <w:szCs w:val="24"/>
        </w:rPr>
        <w:t>.</w:t>
      </w:r>
    </w:p>
    <w:p w:rsidR="006D0A08" w:rsidRPr="006D0A08" w:rsidRDefault="006D0A08" w:rsidP="00DE66FD">
      <w:pPr>
        <w:spacing w:line="276" w:lineRule="auto"/>
        <w:ind w:firstLine="720"/>
        <w:jc w:val="both"/>
        <w:rPr>
          <w:b/>
          <w:i/>
          <w:sz w:val="24"/>
          <w:szCs w:val="24"/>
        </w:rPr>
      </w:pPr>
    </w:p>
    <w:p w:rsidR="00C23F5C" w:rsidRDefault="00C23F5C" w:rsidP="005A3CF5">
      <w:pPr>
        <w:spacing w:line="276" w:lineRule="auto"/>
        <w:ind w:firstLine="708"/>
        <w:jc w:val="both"/>
        <w:rPr>
          <w:rFonts w:ascii="Tahoma" w:hAnsi="Tahoma" w:cs="Tahoma"/>
          <w:b/>
        </w:rPr>
      </w:pPr>
      <w:r w:rsidRPr="00830629">
        <w:rPr>
          <w:sz w:val="24"/>
          <w:szCs w:val="24"/>
        </w:rPr>
        <w:t xml:space="preserve">Pripomienky </w:t>
      </w:r>
      <w:r w:rsidR="005869EE" w:rsidRPr="00094697">
        <w:rPr>
          <w:sz w:val="24"/>
          <w:szCs w:val="24"/>
        </w:rPr>
        <w:t xml:space="preserve">a stanoviská </w:t>
      </w:r>
      <w:r w:rsidRPr="00830629">
        <w:rPr>
          <w:sz w:val="24"/>
          <w:szCs w:val="24"/>
        </w:rPr>
        <w:t xml:space="preserve">spoločnosti Orange sa týkali </w:t>
      </w:r>
      <w:r w:rsidR="005A3CF5" w:rsidRPr="00830629">
        <w:rPr>
          <w:sz w:val="24"/>
          <w:szCs w:val="24"/>
        </w:rPr>
        <w:t xml:space="preserve">nižšie uvedených jednotlivých </w:t>
      </w:r>
      <w:r w:rsidRPr="00830629">
        <w:rPr>
          <w:sz w:val="24"/>
          <w:szCs w:val="24"/>
        </w:rPr>
        <w:t>častí analýzy</w:t>
      </w:r>
      <w:r w:rsidR="00C50112" w:rsidRPr="00830629">
        <w:rPr>
          <w:sz w:val="24"/>
          <w:szCs w:val="24"/>
        </w:rPr>
        <w:t xml:space="preserve"> relevantného trhu č. 3</w:t>
      </w:r>
      <w:r w:rsidR="005A3CF5" w:rsidRPr="00830629">
        <w:rPr>
          <w:sz w:val="24"/>
          <w:szCs w:val="24"/>
        </w:rPr>
        <w:t>.</w:t>
      </w:r>
    </w:p>
    <w:p w:rsidR="004F3DF3" w:rsidRDefault="004F3DF3" w:rsidP="00DE66FD">
      <w:pPr>
        <w:spacing w:line="276" w:lineRule="auto"/>
        <w:jc w:val="both"/>
        <w:rPr>
          <w:rFonts w:ascii="Tahoma" w:hAnsi="Tahoma" w:cs="Tahoma"/>
          <w:b/>
        </w:rPr>
      </w:pPr>
    </w:p>
    <w:p w:rsidR="004E6429" w:rsidRDefault="004E6429" w:rsidP="00DE66FD">
      <w:pPr>
        <w:spacing w:line="276" w:lineRule="auto"/>
        <w:jc w:val="both"/>
        <w:rPr>
          <w:rFonts w:ascii="Tahoma" w:hAnsi="Tahoma" w:cs="Tahoma"/>
          <w:b/>
        </w:rPr>
      </w:pPr>
    </w:p>
    <w:p w:rsidR="000378BA" w:rsidRDefault="000378BA" w:rsidP="00DE66FD">
      <w:pPr>
        <w:spacing w:line="276" w:lineRule="auto"/>
        <w:jc w:val="both"/>
        <w:rPr>
          <w:rFonts w:ascii="Tahoma" w:hAnsi="Tahoma" w:cs="Tahoma"/>
          <w:b/>
        </w:rPr>
      </w:pPr>
    </w:p>
    <w:p w:rsidR="000378BA" w:rsidRDefault="000378BA" w:rsidP="00DE66FD">
      <w:pPr>
        <w:spacing w:line="276" w:lineRule="auto"/>
        <w:jc w:val="both"/>
        <w:rPr>
          <w:rFonts w:ascii="Tahoma" w:hAnsi="Tahoma" w:cs="Tahoma"/>
          <w:b/>
        </w:rPr>
      </w:pPr>
    </w:p>
    <w:p w:rsidR="005869EE" w:rsidRDefault="005869EE" w:rsidP="00DE66FD">
      <w:pPr>
        <w:spacing w:line="276" w:lineRule="auto"/>
        <w:jc w:val="both"/>
        <w:rPr>
          <w:rFonts w:ascii="Tahoma" w:hAnsi="Tahoma" w:cs="Tahoma"/>
          <w:b/>
        </w:rPr>
      </w:pPr>
    </w:p>
    <w:p w:rsidR="005869EE" w:rsidRDefault="005869EE" w:rsidP="00DE66FD">
      <w:pPr>
        <w:spacing w:line="276" w:lineRule="auto"/>
        <w:jc w:val="both"/>
        <w:rPr>
          <w:rFonts w:ascii="Tahoma" w:hAnsi="Tahoma" w:cs="Tahoma"/>
          <w:b/>
        </w:rPr>
      </w:pPr>
    </w:p>
    <w:p w:rsidR="000378BA" w:rsidRDefault="000378BA" w:rsidP="00DE66FD">
      <w:pPr>
        <w:spacing w:line="276" w:lineRule="auto"/>
        <w:jc w:val="both"/>
        <w:rPr>
          <w:rFonts w:ascii="Tahoma" w:hAnsi="Tahoma" w:cs="Tahoma"/>
          <w:b/>
        </w:rPr>
      </w:pPr>
    </w:p>
    <w:p w:rsidR="00C23F5C" w:rsidRDefault="00C23F5C" w:rsidP="00DE66FD">
      <w:pPr>
        <w:spacing w:line="276" w:lineRule="auto"/>
        <w:jc w:val="both"/>
        <w:rPr>
          <w:b/>
          <w:sz w:val="24"/>
          <w:szCs w:val="24"/>
        </w:rPr>
      </w:pPr>
      <w:r w:rsidRPr="00C23F5C">
        <w:rPr>
          <w:b/>
          <w:sz w:val="24"/>
          <w:szCs w:val="24"/>
        </w:rPr>
        <w:lastRenderedPageBreak/>
        <w:t>I.1.2 Základné etapy pri analýze relevantného trhu</w:t>
      </w:r>
    </w:p>
    <w:p w:rsidR="00F82512" w:rsidRDefault="00F82512" w:rsidP="00DE66FD">
      <w:pPr>
        <w:spacing w:line="276" w:lineRule="auto"/>
        <w:jc w:val="both"/>
        <w:rPr>
          <w:b/>
          <w:sz w:val="24"/>
          <w:szCs w:val="24"/>
        </w:rPr>
      </w:pPr>
    </w:p>
    <w:p w:rsidR="00595926" w:rsidRDefault="00595926" w:rsidP="00DE66FD">
      <w:pPr>
        <w:spacing w:line="276" w:lineRule="auto"/>
        <w:jc w:val="both"/>
        <w:rPr>
          <w:b/>
          <w:sz w:val="24"/>
          <w:szCs w:val="24"/>
        </w:rPr>
      </w:pPr>
    </w:p>
    <w:p w:rsidR="00595926" w:rsidRDefault="00595926" w:rsidP="00595926">
      <w:pPr>
        <w:spacing w:line="276" w:lineRule="auto"/>
        <w:jc w:val="both"/>
        <w:rPr>
          <w:b/>
          <w:sz w:val="24"/>
          <w:szCs w:val="24"/>
        </w:rPr>
      </w:pPr>
      <w:r>
        <w:rPr>
          <w:b/>
          <w:sz w:val="24"/>
          <w:szCs w:val="24"/>
        </w:rPr>
        <w:t>Bod 1</w:t>
      </w:r>
    </w:p>
    <w:p w:rsidR="00764836" w:rsidRDefault="00764836" w:rsidP="00094697">
      <w:pPr>
        <w:widowControl/>
        <w:autoSpaceDE/>
        <w:autoSpaceDN/>
        <w:adjustRightInd/>
        <w:spacing w:line="276" w:lineRule="auto"/>
        <w:jc w:val="both"/>
        <w:rPr>
          <w:b/>
          <w:sz w:val="24"/>
          <w:szCs w:val="24"/>
          <w:u w:val="single"/>
        </w:rPr>
      </w:pPr>
    </w:p>
    <w:p w:rsidR="00830629" w:rsidRPr="00094697" w:rsidRDefault="00595926" w:rsidP="00094697">
      <w:pPr>
        <w:widowControl/>
        <w:autoSpaceDE/>
        <w:autoSpaceDN/>
        <w:adjustRightInd/>
        <w:spacing w:line="276" w:lineRule="auto"/>
        <w:jc w:val="both"/>
        <w:rPr>
          <w:b/>
          <w:sz w:val="24"/>
          <w:szCs w:val="24"/>
          <w:u w:val="single"/>
        </w:rPr>
      </w:pPr>
      <w:r w:rsidRPr="00094697">
        <w:rPr>
          <w:b/>
          <w:sz w:val="24"/>
          <w:szCs w:val="24"/>
          <w:u w:val="single"/>
        </w:rPr>
        <w:t>Návrh spoločnosti Orange</w:t>
      </w:r>
    </w:p>
    <w:p w:rsidR="00442B84" w:rsidRDefault="00442B84" w:rsidP="00094697">
      <w:pPr>
        <w:widowControl/>
        <w:autoSpaceDE/>
        <w:autoSpaceDN/>
        <w:adjustRightInd/>
        <w:spacing w:line="276" w:lineRule="auto"/>
        <w:jc w:val="both"/>
        <w:rPr>
          <w:b/>
          <w:sz w:val="24"/>
          <w:szCs w:val="24"/>
        </w:rPr>
      </w:pPr>
    </w:p>
    <w:p w:rsidR="00595926" w:rsidRPr="00094697" w:rsidRDefault="00595926" w:rsidP="00094697">
      <w:pPr>
        <w:widowControl/>
        <w:autoSpaceDE/>
        <w:autoSpaceDN/>
        <w:adjustRightInd/>
        <w:spacing w:line="276" w:lineRule="auto"/>
        <w:jc w:val="both"/>
        <w:rPr>
          <w:b/>
          <w:sz w:val="24"/>
          <w:szCs w:val="24"/>
        </w:rPr>
      </w:pPr>
      <w:r w:rsidRPr="00094697">
        <w:rPr>
          <w:sz w:val="24"/>
          <w:szCs w:val="24"/>
        </w:rPr>
        <w:t xml:space="preserve">Spoločnosť Orange navrhuje, aby úrad pri každej konkrétnej uloženej povinnosti uviedol, ako konkrétne nápravné opatrenie zabezpečí efektívnu súťaž. </w:t>
      </w:r>
    </w:p>
    <w:p w:rsidR="00595926" w:rsidRPr="00C23F5C" w:rsidRDefault="00595926" w:rsidP="00DE66FD">
      <w:pPr>
        <w:spacing w:line="276" w:lineRule="auto"/>
        <w:jc w:val="both"/>
        <w:rPr>
          <w:b/>
          <w:sz w:val="24"/>
          <w:szCs w:val="24"/>
        </w:rPr>
      </w:pPr>
    </w:p>
    <w:p w:rsidR="00C23F5C" w:rsidRPr="00094697" w:rsidRDefault="000A79A1" w:rsidP="00DE66FD">
      <w:pPr>
        <w:spacing w:line="276" w:lineRule="auto"/>
        <w:jc w:val="both"/>
        <w:rPr>
          <w:b/>
          <w:sz w:val="24"/>
          <w:szCs w:val="24"/>
          <w:u w:val="single"/>
        </w:rPr>
      </w:pPr>
      <w:r w:rsidRPr="00094697">
        <w:rPr>
          <w:b/>
          <w:sz w:val="24"/>
          <w:szCs w:val="24"/>
          <w:u w:val="single"/>
        </w:rPr>
        <w:t>Stanovisko úradu</w:t>
      </w:r>
      <w:r w:rsidR="00DE66FD" w:rsidRPr="00094697">
        <w:rPr>
          <w:b/>
          <w:sz w:val="24"/>
          <w:szCs w:val="24"/>
          <w:u w:val="single"/>
        </w:rPr>
        <w:t xml:space="preserve"> k bodu 1</w:t>
      </w:r>
    </w:p>
    <w:p w:rsidR="00442B84" w:rsidRDefault="00442B84" w:rsidP="00DE66FD">
      <w:pPr>
        <w:spacing w:line="276" w:lineRule="auto"/>
        <w:jc w:val="both"/>
        <w:rPr>
          <w:b/>
          <w:sz w:val="24"/>
          <w:szCs w:val="24"/>
        </w:rPr>
      </w:pPr>
    </w:p>
    <w:p w:rsidR="006F307E" w:rsidRPr="00094697" w:rsidRDefault="006F307E" w:rsidP="006F307E">
      <w:pPr>
        <w:spacing w:line="276" w:lineRule="auto"/>
        <w:jc w:val="both"/>
        <w:rPr>
          <w:sz w:val="24"/>
          <w:szCs w:val="24"/>
        </w:rPr>
      </w:pPr>
      <w:r w:rsidRPr="00094697">
        <w:rPr>
          <w:sz w:val="24"/>
          <w:szCs w:val="24"/>
        </w:rPr>
        <w:t xml:space="preserve">Úrad pri analýze predmetného trhu vychádzal z platného regulačného rámca, </w:t>
      </w:r>
      <w:r w:rsidR="00830629">
        <w:rPr>
          <w:sz w:val="24"/>
          <w:szCs w:val="24"/>
        </w:rPr>
        <w:t xml:space="preserve"> z nasledovných </w:t>
      </w:r>
      <w:r w:rsidR="002E6417">
        <w:rPr>
          <w:sz w:val="24"/>
          <w:szCs w:val="24"/>
        </w:rPr>
        <w:t>o</w:t>
      </w:r>
      <w:r w:rsidRPr="00094697">
        <w:rPr>
          <w:sz w:val="24"/>
          <w:szCs w:val="24"/>
        </w:rPr>
        <w:t>dporúčaní - Odporúčanie Komisie o príslušných trhoch výrobkov a služieb v sektore elektronickej komunikácie umožňujúcich reguláciu ex ante (2007/879/ES) zo dňa 17.12.2007</w:t>
      </w:r>
      <w:r w:rsidR="002E6417">
        <w:rPr>
          <w:sz w:val="24"/>
          <w:szCs w:val="24"/>
        </w:rPr>
        <w:t>,</w:t>
      </w:r>
      <w:r w:rsidRPr="00094697">
        <w:rPr>
          <w:sz w:val="24"/>
          <w:szCs w:val="24"/>
        </w:rPr>
        <w:t xml:space="preserve"> Odporúčanie Komisie o regulačnom zaobchádzaní s prepojovacími poplatkami v pevných a mobilných telefónnych sieťach v EÚ (2009/396/ES) zo dňa 07.05.2009</w:t>
      </w:r>
      <w:r w:rsidR="00BE4FA0">
        <w:rPr>
          <w:sz w:val="24"/>
          <w:szCs w:val="24"/>
        </w:rPr>
        <w:t>,</w:t>
      </w:r>
      <w:r w:rsidRPr="00094697">
        <w:rPr>
          <w:sz w:val="24"/>
          <w:szCs w:val="24"/>
        </w:rPr>
        <w:t xml:space="preserve"> ak</w:t>
      </w:r>
      <w:r w:rsidR="00212935">
        <w:rPr>
          <w:sz w:val="24"/>
          <w:szCs w:val="24"/>
        </w:rPr>
        <w:t>o aj</w:t>
      </w:r>
      <w:r w:rsidRPr="00094697">
        <w:rPr>
          <w:sz w:val="24"/>
          <w:szCs w:val="24"/>
        </w:rPr>
        <w:t xml:space="preserve"> prislúchajúcich </w:t>
      </w:r>
      <w:r w:rsidR="008642B4">
        <w:rPr>
          <w:sz w:val="24"/>
          <w:szCs w:val="24"/>
        </w:rPr>
        <w:t>v</w:t>
      </w:r>
      <w:r w:rsidRPr="00094697">
        <w:rPr>
          <w:sz w:val="24"/>
          <w:szCs w:val="24"/>
        </w:rPr>
        <w:t>ysvetľ</w:t>
      </w:r>
      <w:r w:rsidR="008642B4">
        <w:rPr>
          <w:sz w:val="24"/>
          <w:szCs w:val="24"/>
        </w:rPr>
        <w:t>ujúcich</w:t>
      </w:r>
      <w:r w:rsidRPr="00094697">
        <w:rPr>
          <w:sz w:val="24"/>
          <w:szCs w:val="24"/>
        </w:rPr>
        <w:t xml:space="preserve"> dokumentov - Vysvetľujúce memorandum k odporúčaniu Komisie o príslušných trhoch výrobkov a služieb v sektore elektronickej komunikácie umožňujúcich reguláciu ex ante a Vysvetľujúce memorandum k odporúčaniu Komisie o regulačnom zaobchádzaní s prepojovacími poplatkami v pevných a mobilných telefónnych sieťach v EÚ.</w:t>
      </w:r>
    </w:p>
    <w:p w:rsidR="006F307E" w:rsidRPr="00094697" w:rsidRDefault="006F307E" w:rsidP="006F307E">
      <w:pPr>
        <w:spacing w:line="276" w:lineRule="auto"/>
        <w:jc w:val="both"/>
        <w:rPr>
          <w:sz w:val="24"/>
          <w:szCs w:val="24"/>
        </w:rPr>
      </w:pPr>
    </w:p>
    <w:p w:rsidR="006F307E" w:rsidRPr="00094697" w:rsidRDefault="006F307E" w:rsidP="006F307E">
      <w:pPr>
        <w:spacing w:line="276" w:lineRule="auto"/>
        <w:jc w:val="both"/>
        <w:rPr>
          <w:sz w:val="24"/>
          <w:szCs w:val="24"/>
        </w:rPr>
      </w:pPr>
      <w:r w:rsidRPr="00094697">
        <w:rPr>
          <w:sz w:val="24"/>
          <w:szCs w:val="24"/>
        </w:rPr>
        <w:t>Vo Vysvetľujúcom memorande k odporúčaniu Komisie o príslušných trhoch výrobkov a služieb v sektore elektronickej komunikácie umožňujúcich reguláciu ex ante na strane 25 sa uvádza, že: “</w:t>
      </w:r>
      <w:proofErr w:type="spellStart"/>
      <w:r w:rsidRPr="00094697">
        <w:rPr>
          <w:sz w:val="24"/>
          <w:szCs w:val="24"/>
        </w:rPr>
        <w:t>Each</w:t>
      </w:r>
      <w:proofErr w:type="spellEnd"/>
      <w:r w:rsidRPr="00094697">
        <w:rPr>
          <w:sz w:val="24"/>
          <w:szCs w:val="24"/>
        </w:rPr>
        <w:t xml:space="preserve"> </w:t>
      </w:r>
      <w:proofErr w:type="spellStart"/>
      <w:r w:rsidRPr="00094697">
        <w:rPr>
          <w:sz w:val="24"/>
          <w:szCs w:val="24"/>
        </w:rPr>
        <w:t>market</w:t>
      </w:r>
      <w:proofErr w:type="spellEnd"/>
      <w:r w:rsidRPr="00094697">
        <w:rPr>
          <w:sz w:val="24"/>
          <w:szCs w:val="24"/>
        </w:rPr>
        <w:t xml:space="preserve"> </w:t>
      </w:r>
      <w:proofErr w:type="spellStart"/>
      <w:r w:rsidRPr="00094697">
        <w:rPr>
          <w:sz w:val="24"/>
          <w:szCs w:val="24"/>
        </w:rPr>
        <w:t>for</w:t>
      </w:r>
      <w:proofErr w:type="spellEnd"/>
      <w:r w:rsidRPr="00094697">
        <w:rPr>
          <w:sz w:val="24"/>
          <w:szCs w:val="24"/>
        </w:rPr>
        <w:t xml:space="preserve"> </w:t>
      </w:r>
      <w:proofErr w:type="spellStart"/>
      <w:r w:rsidRPr="00094697">
        <w:rPr>
          <w:sz w:val="24"/>
          <w:szCs w:val="24"/>
        </w:rPr>
        <w:t>call</w:t>
      </w:r>
      <w:proofErr w:type="spellEnd"/>
      <w:r w:rsidRPr="00094697">
        <w:rPr>
          <w:sz w:val="24"/>
          <w:szCs w:val="24"/>
        </w:rPr>
        <w:t xml:space="preserve"> </w:t>
      </w:r>
      <w:proofErr w:type="spellStart"/>
      <w:r w:rsidRPr="00094697">
        <w:rPr>
          <w:sz w:val="24"/>
          <w:szCs w:val="24"/>
        </w:rPr>
        <w:t>termination</w:t>
      </w:r>
      <w:proofErr w:type="spellEnd"/>
      <w:r w:rsidRPr="00094697">
        <w:rPr>
          <w:sz w:val="24"/>
          <w:szCs w:val="24"/>
        </w:rPr>
        <w:t xml:space="preserve"> on </w:t>
      </w:r>
      <w:proofErr w:type="spellStart"/>
      <w:r w:rsidRPr="00094697">
        <w:rPr>
          <w:sz w:val="24"/>
          <w:szCs w:val="24"/>
        </w:rPr>
        <w:t>an</w:t>
      </w:r>
      <w:proofErr w:type="spellEnd"/>
      <w:r w:rsidRPr="00094697">
        <w:rPr>
          <w:sz w:val="24"/>
          <w:szCs w:val="24"/>
        </w:rPr>
        <w:t xml:space="preserve"> </w:t>
      </w:r>
      <w:proofErr w:type="spellStart"/>
      <w:r w:rsidRPr="00094697">
        <w:rPr>
          <w:sz w:val="24"/>
          <w:szCs w:val="24"/>
        </w:rPr>
        <w:t>individual</w:t>
      </w:r>
      <w:proofErr w:type="spellEnd"/>
      <w:r w:rsidRPr="00094697">
        <w:rPr>
          <w:sz w:val="24"/>
          <w:szCs w:val="24"/>
        </w:rPr>
        <w:t xml:space="preserve"> </w:t>
      </w:r>
      <w:proofErr w:type="spellStart"/>
      <w:r w:rsidRPr="00094697">
        <w:rPr>
          <w:sz w:val="24"/>
          <w:szCs w:val="24"/>
        </w:rPr>
        <w:t>fixed</w:t>
      </w:r>
      <w:proofErr w:type="spellEnd"/>
      <w:r w:rsidRPr="00094697">
        <w:rPr>
          <w:sz w:val="24"/>
          <w:szCs w:val="24"/>
        </w:rPr>
        <w:t xml:space="preserve"> </w:t>
      </w:r>
      <w:proofErr w:type="spellStart"/>
      <w:r w:rsidRPr="00094697">
        <w:rPr>
          <w:sz w:val="24"/>
          <w:szCs w:val="24"/>
        </w:rPr>
        <w:t>network</w:t>
      </w:r>
      <w:proofErr w:type="spellEnd"/>
      <w:r w:rsidRPr="00094697">
        <w:rPr>
          <w:sz w:val="24"/>
          <w:szCs w:val="24"/>
        </w:rPr>
        <w:t xml:space="preserve"> </w:t>
      </w:r>
      <w:proofErr w:type="spellStart"/>
      <w:r w:rsidRPr="00094697">
        <w:rPr>
          <w:sz w:val="24"/>
          <w:szCs w:val="24"/>
        </w:rPr>
        <w:t>is</w:t>
      </w:r>
      <w:proofErr w:type="spellEnd"/>
      <w:r w:rsidRPr="00094697">
        <w:rPr>
          <w:sz w:val="24"/>
          <w:szCs w:val="24"/>
        </w:rPr>
        <w:t xml:space="preserve"> a </w:t>
      </w:r>
      <w:proofErr w:type="spellStart"/>
      <w:r w:rsidRPr="00094697">
        <w:rPr>
          <w:sz w:val="24"/>
          <w:szCs w:val="24"/>
        </w:rPr>
        <w:t>monopolistic</w:t>
      </w:r>
      <w:proofErr w:type="spellEnd"/>
      <w:r w:rsidRPr="00094697">
        <w:rPr>
          <w:sz w:val="24"/>
          <w:szCs w:val="24"/>
        </w:rPr>
        <w:t xml:space="preserve"> </w:t>
      </w:r>
      <w:proofErr w:type="spellStart"/>
      <w:r w:rsidRPr="00094697">
        <w:rPr>
          <w:sz w:val="24"/>
          <w:szCs w:val="24"/>
        </w:rPr>
        <w:t>market</w:t>
      </w:r>
      <w:proofErr w:type="spellEnd"/>
      <w:r w:rsidRPr="00094697">
        <w:rPr>
          <w:sz w:val="24"/>
          <w:szCs w:val="24"/>
        </w:rPr>
        <w:t xml:space="preserve"> </w:t>
      </w:r>
      <w:proofErr w:type="spellStart"/>
      <w:r w:rsidRPr="00094697">
        <w:rPr>
          <w:sz w:val="24"/>
          <w:szCs w:val="24"/>
        </w:rPr>
        <w:t>with</w:t>
      </w:r>
      <w:proofErr w:type="spellEnd"/>
      <w:r w:rsidRPr="00094697">
        <w:rPr>
          <w:sz w:val="24"/>
          <w:szCs w:val="24"/>
        </w:rPr>
        <w:t xml:space="preserve"> no </w:t>
      </w:r>
      <w:proofErr w:type="spellStart"/>
      <w:r w:rsidRPr="00094697">
        <w:rPr>
          <w:sz w:val="24"/>
          <w:szCs w:val="24"/>
        </w:rPr>
        <w:t>tendency</w:t>
      </w:r>
      <w:proofErr w:type="spellEnd"/>
      <w:r w:rsidRPr="00094697">
        <w:rPr>
          <w:sz w:val="24"/>
          <w:szCs w:val="24"/>
        </w:rPr>
        <w:t xml:space="preserve"> </w:t>
      </w:r>
      <w:proofErr w:type="spellStart"/>
      <w:r w:rsidRPr="00094697">
        <w:rPr>
          <w:sz w:val="24"/>
          <w:szCs w:val="24"/>
        </w:rPr>
        <w:t>towards</w:t>
      </w:r>
      <w:proofErr w:type="spellEnd"/>
      <w:r w:rsidRPr="00094697">
        <w:rPr>
          <w:sz w:val="24"/>
          <w:szCs w:val="24"/>
        </w:rPr>
        <w:t xml:space="preserve"> </w:t>
      </w:r>
      <w:proofErr w:type="spellStart"/>
      <w:r w:rsidRPr="00094697">
        <w:rPr>
          <w:sz w:val="24"/>
          <w:szCs w:val="24"/>
        </w:rPr>
        <w:t>effective</w:t>
      </w:r>
      <w:proofErr w:type="spellEnd"/>
      <w:r w:rsidRPr="00094697">
        <w:rPr>
          <w:sz w:val="24"/>
          <w:szCs w:val="24"/>
        </w:rPr>
        <w:t xml:space="preserve"> </w:t>
      </w:r>
      <w:proofErr w:type="spellStart"/>
      <w:r w:rsidRPr="00094697">
        <w:rPr>
          <w:sz w:val="24"/>
          <w:szCs w:val="24"/>
        </w:rPr>
        <w:t>competition</w:t>
      </w:r>
      <w:proofErr w:type="spellEnd"/>
      <w:r w:rsidRPr="00094697">
        <w:rPr>
          <w:sz w:val="24"/>
          <w:szCs w:val="24"/>
        </w:rPr>
        <w:t xml:space="preserve">, </w:t>
      </w:r>
      <w:proofErr w:type="spellStart"/>
      <w:r w:rsidRPr="00094697">
        <w:rPr>
          <w:sz w:val="24"/>
          <w:szCs w:val="24"/>
        </w:rPr>
        <w:t>where</w:t>
      </w:r>
      <w:proofErr w:type="spellEnd"/>
      <w:r w:rsidRPr="00094697">
        <w:rPr>
          <w:sz w:val="24"/>
          <w:szCs w:val="24"/>
        </w:rPr>
        <w:t xml:space="preserve"> </w:t>
      </w:r>
      <w:proofErr w:type="spellStart"/>
      <w:r w:rsidRPr="00094697">
        <w:rPr>
          <w:sz w:val="24"/>
          <w:szCs w:val="24"/>
        </w:rPr>
        <w:t>end-users</w:t>
      </w:r>
      <w:proofErr w:type="spellEnd"/>
      <w:r w:rsidRPr="00094697">
        <w:rPr>
          <w:sz w:val="24"/>
          <w:szCs w:val="24"/>
        </w:rPr>
        <w:t xml:space="preserve"> are </w:t>
      </w:r>
      <w:proofErr w:type="spellStart"/>
      <w:r w:rsidRPr="00094697">
        <w:rPr>
          <w:sz w:val="24"/>
          <w:szCs w:val="24"/>
        </w:rPr>
        <w:t>unable</w:t>
      </w:r>
      <w:proofErr w:type="spellEnd"/>
      <w:r w:rsidRPr="00094697">
        <w:rPr>
          <w:sz w:val="24"/>
          <w:szCs w:val="24"/>
        </w:rPr>
        <w:t xml:space="preserve"> to </w:t>
      </w:r>
      <w:proofErr w:type="spellStart"/>
      <w:r w:rsidRPr="00094697">
        <w:rPr>
          <w:sz w:val="24"/>
          <w:szCs w:val="24"/>
        </w:rPr>
        <w:t>systematically</w:t>
      </w:r>
      <w:proofErr w:type="spellEnd"/>
      <w:r w:rsidRPr="00094697">
        <w:rPr>
          <w:sz w:val="24"/>
          <w:szCs w:val="24"/>
        </w:rPr>
        <w:t xml:space="preserve"> set </w:t>
      </w:r>
      <w:proofErr w:type="spellStart"/>
      <w:r w:rsidRPr="00094697">
        <w:rPr>
          <w:sz w:val="24"/>
          <w:szCs w:val="24"/>
        </w:rPr>
        <w:t>up</w:t>
      </w:r>
      <w:proofErr w:type="spellEnd"/>
      <w:r w:rsidRPr="00094697">
        <w:rPr>
          <w:sz w:val="24"/>
          <w:szCs w:val="24"/>
        </w:rPr>
        <w:t xml:space="preserve"> </w:t>
      </w:r>
      <w:proofErr w:type="spellStart"/>
      <w:r w:rsidRPr="00094697">
        <w:rPr>
          <w:sz w:val="24"/>
          <w:szCs w:val="24"/>
        </w:rPr>
        <w:t>their</w:t>
      </w:r>
      <w:proofErr w:type="spellEnd"/>
      <w:r w:rsidRPr="00094697">
        <w:rPr>
          <w:sz w:val="24"/>
          <w:szCs w:val="24"/>
        </w:rPr>
        <w:t xml:space="preserve"> </w:t>
      </w:r>
      <w:proofErr w:type="spellStart"/>
      <w:r w:rsidRPr="00094697">
        <w:rPr>
          <w:sz w:val="24"/>
          <w:szCs w:val="24"/>
        </w:rPr>
        <w:t>own</w:t>
      </w:r>
      <w:proofErr w:type="spellEnd"/>
      <w:r w:rsidRPr="00094697">
        <w:rPr>
          <w:sz w:val="24"/>
          <w:szCs w:val="24"/>
        </w:rPr>
        <w:t xml:space="preserve"> </w:t>
      </w:r>
      <w:proofErr w:type="spellStart"/>
      <w:r w:rsidRPr="00094697">
        <w:rPr>
          <w:sz w:val="24"/>
          <w:szCs w:val="24"/>
        </w:rPr>
        <w:t>call</w:t>
      </w:r>
      <w:proofErr w:type="spellEnd"/>
      <w:r w:rsidRPr="00094697">
        <w:rPr>
          <w:sz w:val="24"/>
          <w:szCs w:val="24"/>
        </w:rPr>
        <w:t xml:space="preserve"> </w:t>
      </w:r>
      <w:proofErr w:type="spellStart"/>
      <w:r w:rsidRPr="00094697">
        <w:rPr>
          <w:sz w:val="24"/>
          <w:szCs w:val="24"/>
        </w:rPr>
        <w:t>termination</w:t>
      </w:r>
      <w:proofErr w:type="spellEnd"/>
      <w:r w:rsidRPr="00094697">
        <w:rPr>
          <w:sz w:val="24"/>
          <w:szCs w:val="24"/>
        </w:rPr>
        <w:t>.”</w:t>
      </w:r>
      <w:r w:rsidR="00212935">
        <w:rPr>
          <w:sz w:val="24"/>
          <w:szCs w:val="24"/>
        </w:rPr>
        <w:t>,</w:t>
      </w:r>
      <w:r w:rsidRPr="00094697">
        <w:rPr>
          <w:sz w:val="24"/>
          <w:szCs w:val="24"/>
        </w:rPr>
        <w:t xml:space="preserve"> čo</w:t>
      </w:r>
      <w:r w:rsidR="00212935">
        <w:rPr>
          <w:sz w:val="24"/>
          <w:szCs w:val="24"/>
        </w:rPr>
        <w:t xml:space="preserve"> v preklade</w:t>
      </w:r>
      <w:r w:rsidRPr="00094697">
        <w:rPr>
          <w:sz w:val="24"/>
          <w:szCs w:val="24"/>
        </w:rPr>
        <w:t xml:space="preserve"> znamená</w:t>
      </w:r>
      <w:r w:rsidR="00212935">
        <w:rPr>
          <w:sz w:val="24"/>
          <w:szCs w:val="24"/>
        </w:rPr>
        <w:t>:</w:t>
      </w:r>
      <w:r w:rsidRPr="00094697">
        <w:rPr>
          <w:sz w:val="24"/>
          <w:szCs w:val="24"/>
        </w:rPr>
        <w:t xml:space="preserve"> „Každý trh ukončovania volania v jednotlivých verejných telefónnych sieťach v pevnom umiestnení je monopolistický trh s</w:t>
      </w:r>
      <w:r w:rsidR="007E640C">
        <w:rPr>
          <w:sz w:val="24"/>
          <w:szCs w:val="24"/>
        </w:rPr>
        <w:t>o</w:t>
      </w:r>
      <w:r w:rsidRPr="00094697">
        <w:rPr>
          <w:sz w:val="24"/>
          <w:szCs w:val="24"/>
        </w:rPr>
        <w:t xml:space="preserve"> žiadnou tendenciou smerom k efektívnej súťaži, kde koncoví užívatelia nie sú schopní systematicky stanoviť ich vlastné ukončovanie volania.“ </w:t>
      </w:r>
    </w:p>
    <w:p w:rsidR="006F307E" w:rsidRPr="00094697" w:rsidRDefault="006F307E" w:rsidP="006F307E">
      <w:pPr>
        <w:spacing w:line="276" w:lineRule="auto"/>
        <w:jc w:val="both"/>
        <w:rPr>
          <w:sz w:val="24"/>
          <w:szCs w:val="24"/>
        </w:rPr>
      </w:pPr>
    </w:p>
    <w:p w:rsidR="006F307E" w:rsidRPr="00094697" w:rsidRDefault="006F307E" w:rsidP="006F307E">
      <w:pPr>
        <w:spacing w:line="276" w:lineRule="auto"/>
        <w:jc w:val="both"/>
        <w:rPr>
          <w:sz w:val="24"/>
          <w:szCs w:val="24"/>
        </w:rPr>
      </w:pPr>
      <w:r w:rsidRPr="00094697">
        <w:rPr>
          <w:sz w:val="24"/>
          <w:szCs w:val="24"/>
        </w:rPr>
        <w:t xml:space="preserve">Práve z toho dôvodu, že </w:t>
      </w:r>
      <w:r w:rsidR="00212935">
        <w:rPr>
          <w:sz w:val="24"/>
          <w:szCs w:val="24"/>
        </w:rPr>
        <w:t xml:space="preserve">každý </w:t>
      </w:r>
      <w:r w:rsidRPr="00094697">
        <w:rPr>
          <w:sz w:val="24"/>
          <w:szCs w:val="24"/>
        </w:rPr>
        <w:t xml:space="preserve">trh ukončovania volania v jednotlivej verejnej telefónnej sieti v pevnom umiestnení je monopolným trhom bez tendencie smerovania k efektívnej súťaži, úrad pokladá za potrebné uložiť všetky navrhované povinnosti za účelom zlepšenia stavu súťaže na predmetnom veľkoobchodnom trhu a podpory súťaže na pridružených maloobchodných trhoch verejnej telefónnej služby. </w:t>
      </w:r>
      <w:r w:rsidR="00212935">
        <w:rPr>
          <w:sz w:val="24"/>
          <w:szCs w:val="24"/>
        </w:rPr>
        <w:t>Každá z navrhovaných povinností prispeje k podpore súťaže a to vrátane cenovej regulácie, pretože v</w:t>
      </w:r>
      <w:r w:rsidRPr="00094697">
        <w:rPr>
          <w:sz w:val="24"/>
          <w:szCs w:val="24"/>
        </w:rPr>
        <w:t xml:space="preserve">ýška poplatkov </w:t>
      </w:r>
      <w:r w:rsidR="00BE4FA0" w:rsidRPr="0059538F">
        <w:rPr>
          <w:sz w:val="24"/>
          <w:szCs w:val="24"/>
        </w:rPr>
        <w:t>za</w:t>
      </w:r>
      <w:r w:rsidR="00BE4FA0">
        <w:rPr>
          <w:sz w:val="24"/>
          <w:szCs w:val="24"/>
        </w:rPr>
        <w:t xml:space="preserve"> </w:t>
      </w:r>
      <w:r w:rsidR="00212935">
        <w:rPr>
          <w:sz w:val="24"/>
          <w:szCs w:val="24"/>
        </w:rPr>
        <w:t xml:space="preserve">službu </w:t>
      </w:r>
      <w:r w:rsidRPr="00094697">
        <w:rPr>
          <w:sz w:val="24"/>
          <w:szCs w:val="24"/>
        </w:rPr>
        <w:t>ukonč</w:t>
      </w:r>
      <w:r w:rsidR="00BE4FA0">
        <w:rPr>
          <w:sz w:val="24"/>
          <w:szCs w:val="24"/>
        </w:rPr>
        <w:t>ovania</w:t>
      </w:r>
      <w:r w:rsidRPr="00094697">
        <w:rPr>
          <w:sz w:val="24"/>
          <w:szCs w:val="24"/>
        </w:rPr>
        <w:t xml:space="preserve"> volania vo verejnej telefónnej sieti v pevnom umiestnení je jedným z faktorov vplývajúcich na stanovenie maloobchodnej ceny za volania do siete.</w:t>
      </w:r>
    </w:p>
    <w:p w:rsidR="006F307E" w:rsidRPr="00094697" w:rsidRDefault="006F307E" w:rsidP="006F307E">
      <w:pPr>
        <w:spacing w:line="276" w:lineRule="auto"/>
        <w:jc w:val="both"/>
        <w:rPr>
          <w:sz w:val="24"/>
          <w:szCs w:val="24"/>
        </w:rPr>
      </w:pPr>
    </w:p>
    <w:p w:rsidR="006F307E" w:rsidRPr="00094697" w:rsidRDefault="006F307E" w:rsidP="006F307E">
      <w:pPr>
        <w:spacing w:line="276" w:lineRule="auto"/>
        <w:jc w:val="both"/>
        <w:rPr>
          <w:sz w:val="24"/>
          <w:szCs w:val="24"/>
        </w:rPr>
      </w:pPr>
      <w:r w:rsidRPr="00094697">
        <w:rPr>
          <w:sz w:val="24"/>
          <w:szCs w:val="24"/>
        </w:rPr>
        <w:t xml:space="preserve">Úrad v odôvodnení jednotlivých povinností v analýze uviedol, aký je účel jednotlivých </w:t>
      </w:r>
      <w:r w:rsidRPr="00094697">
        <w:rPr>
          <w:sz w:val="24"/>
          <w:szCs w:val="24"/>
        </w:rPr>
        <w:lastRenderedPageBreak/>
        <w:t>navrhovaných povinností.</w:t>
      </w:r>
    </w:p>
    <w:p w:rsidR="006F307E" w:rsidRPr="00094697" w:rsidRDefault="006F307E" w:rsidP="006F307E">
      <w:pPr>
        <w:spacing w:line="276" w:lineRule="auto"/>
        <w:jc w:val="both"/>
        <w:rPr>
          <w:sz w:val="24"/>
          <w:szCs w:val="24"/>
        </w:rPr>
      </w:pPr>
    </w:p>
    <w:p w:rsidR="006F307E" w:rsidRPr="00094697" w:rsidRDefault="006F307E" w:rsidP="006F307E">
      <w:pPr>
        <w:spacing w:line="276" w:lineRule="auto"/>
        <w:jc w:val="both"/>
        <w:rPr>
          <w:sz w:val="24"/>
          <w:szCs w:val="24"/>
        </w:rPr>
      </w:pPr>
      <w:r w:rsidRPr="00094697">
        <w:rPr>
          <w:sz w:val="24"/>
          <w:szCs w:val="24"/>
        </w:rPr>
        <w:t xml:space="preserve">Nediskriminácia je základnou povinnosťou, </w:t>
      </w:r>
      <w:r w:rsidR="007D1C2A">
        <w:rPr>
          <w:sz w:val="24"/>
          <w:szCs w:val="24"/>
        </w:rPr>
        <w:t>pretože každý významný podnik a teda aj s</w:t>
      </w:r>
      <w:r w:rsidRPr="00094697">
        <w:rPr>
          <w:sz w:val="24"/>
          <w:szCs w:val="24"/>
        </w:rPr>
        <w:t>poločnosť Orange by nemala diskriminovať žiaden podnik pri ukončovaní volania v pevnom umiestnení</w:t>
      </w:r>
      <w:r w:rsidR="007D1C2A">
        <w:rPr>
          <w:sz w:val="24"/>
          <w:szCs w:val="24"/>
        </w:rPr>
        <w:t xml:space="preserve"> a</w:t>
      </w:r>
      <w:r w:rsidRPr="00094697">
        <w:rPr>
          <w:sz w:val="24"/>
          <w:szCs w:val="24"/>
        </w:rPr>
        <w:t xml:space="preserve"> </w:t>
      </w:r>
      <w:r w:rsidR="007D1C2A">
        <w:rPr>
          <w:sz w:val="24"/>
          <w:szCs w:val="24"/>
        </w:rPr>
        <w:t xml:space="preserve">každý podnik by mal platiť rovnaký poplatok za ukončovanie volania v sieti Orange. </w:t>
      </w:r>
      <w:r w:rsidRPr="00094697">
        <w:rPr>
          <w:sz w:val="24"/>
          <w:szCs w:val="24"/>
        </w:rPr>
        <w:t xml:space="preserve">Z tejto povinnosti vyplýva povinnosť transparentnosti, teda vydania referenčnej ponuky a základných informácií týkajúcich sa ukončovania volaní vo verejnej telefónnej sieti spoločnosti Orange. </w:t>
      </w:r>
      <w:r w:rsidR="007D1C2A">
        <w:rPr>
          <w:sz w:val="24"/>
          <w:szCs w:val="24"/>
        </w:rPr>
        <w:t>Na základe n</w:t>
      </w:r>
      <w:r w:rsidRPr="00094697">
        <w:rPr>
          <w:sz w:val="24"/>
          <w:szCs w:val="24"/>
        </w:rPr>
        <w:t>ásledne</w:t>
      </w:r>
      <w:r w:rsidR="007D1C2A">
        <w:rPr>
          <w:sz w:val="24"/>
          <w:szCs w:val="24"/>
        </w:rPr>
        <w:t>j</w:t>
      </w:r>
      <w:r w:rsidRPr="00094697">
        <w:rPr>
          <w:sz w:val="24"/>
          <w:szCs w:val="24"/>
        </w:rPr>
        <w:t xml:space="preserve"> povinnos</w:t>
      </w:r>
      <w:r w:rsidR="007D1C2A">
        <w:rPr>
          <w:sz w:val="24"/>
          <w:szCs w:val="24"/>
        </w:rPr>
        <w:t>ti</w:t>
      </w:r>
      <w:r w:rsidRPr="00094697">
        <w:rPr>
          <w:sz w:val="24"/>
          <w:szCs w:val="24"/>
        </w:rPr>
        <w:t xml:space="preserve"> prístupu by </w:t>
      </w:r>
      <w:r w:rsidR="007D1C2A">
        <w:rPr>
          <w:sz w:val="24"/>
          <w:szCs w:val="24"/>
        </w:rPr>
        <w:t xml:space="preserve">spoločnosť Orange </w:t>
      </w:r>
      <w:r w:rsidRPr="00094697">
        <w:rPr>
          <w:sz w:val="24"/>
          <w:szCs w:val="24"/>
        </w:rPr>
        <w:t>mal</w:t>
      </w:r>
      <w:r w:rsidR="007D1C2A">
        <w:rPr>
          <w:sz w:val="24"/>
          <w:szCs w:val="24"/>
        </w:rPr>
        <w:t>a</w:t>
      </w:r>
      <w:r w:rsidRPr="00094697">
        <w:rPr>
          <w:sz w:val="24"/>
          <w:szCs w:val="24"/>
        </w:rPr>
        <w:t xml:space="preserve"> zabezpečiť prístup a prepojenie sietí. A napokon, keďže žiadna z týchto povinností nezaručuje, aby spoločnosť Orange Slovensko účtovala za veľkoobchodné </w:t>
      </w:r>
      <w:r w:rsidR="007D1C2A">
        <w:rPr>
          <w:sz w:val="24"/>
          <w:szCs w:val="24"/>
        </w:rPr>
        <w:t xml:space="preserve">služby </w:t>
      </w:r>
      <w:r w:rsidRPr="00094697">
        <w:rPr>
          <w:sz w:val="24"/>
          <w:szCs w:val="24"/>
        </w:rPr>
        <w:t>ukonč</w:t>
      </w:r>
      <w:r w:rsidR="007D1C2A">
        <w:rPr>
          <w:sz w:val="24"/>
          <w:szCs w:val="24"/>
        </w:rPr>
        <w:t>ovania</w:t>
      </w:r>
      <w:r w:rsidRPr="00094697">
        <w:rPr>
          <w:sz w:val="24"/>
          <w:szCs w:val="24"/>
        </w:rPr>
        <w:t xml:space="preserve"> volan</w:t>
      </w:r>
      <w:r w:rsidR="007D1C2A">
        <w:rPr>
          <w:sz w:val="24"/>
          <w:szCs w:val="24"/>
        </w:rPr>
        <w:t>ia</w:t>
      </w:r>
      <w:r w:rsidRPr="00094697">
        <w:rPr>
          <w:sz w:val="24"/>
          <w:szCs w:val="24"/>
        </w:rPr>
        <w:t xml:space="preserve"> </w:t>
      </w:r>
      <w:r w:rsidR="00217CED">
        <w:rPr>
          <w:sz w:val="24"/>
          <w:szCs w:val="24"/>
        </w:rPr>
        <w:t xml:space="preserve">v pevnom umiestnení </w:t>
      </w:r>
      <w:r w:rsidRPr="00094697">
        <w:rPr>
          <w:sz w:val="24"/>
          <w:szCs w:val="24"/>
        </w:rPr>
        <w:t xml:space="preserve">primerané ceny, </w:t>
      </w:r>
      <w:r w:rsidR="00217CED">
        <w:rPr>
          <w:sz w:val="24"/>
          <w:szCs w:val="24"/>
        </w:rPr>
        <w:t xml:space="preserve">preto je potrebné </w:t>
      </w:r>
      <w:r w:rsidRPr="00094697">
        <w:rPr>
          <w:sz w:val="24"/>
          <w:szCs w:val="24"/>
        </w:rPr>
        <w:t>ul</w:t>
      </w:r>
      <w:r w:rsidR="00217CED">
        <w:rPr>
          <w:sz w:val="24"/>
          <w:szCs w:val="24"/>
        </w:rPr>
        <w:t xml:space="preserve">ožiť </w:t>
      </w:r>
      <w:r w:rsidRPr="00094697">
        <w:rPr>
          <w:sz w:val="24"/>
          <w:szCs w:val="24"/>
        </w:rPr>
        <w:t xml:space="preserve">aj povinnosť cenovej regulácie. </w:t>
      </w:r>
    </w:p>
    <w:p w:rsidR="00461C97" w:rsidRDefault="00C811FE" w:rsidP="00DE66FD">
      <w:pPr>
        <w:spacing w:line="276" w:lineRule="auto"/>
        <w:jc w:val="both"/>
        <w:rPr>
          <w:sz w:val="24"/>
          <w:szCs w:val="24"/>
        </w:rPr>
      </w:pPr>
      <w:r>
        <w:rPr>
          <w:sz w:val="24"/>
          <w:szCs w:val="24"/>
        </w:rPr>
        <w:t>Úrad ne</w:t>
      </w:r>
      <w:r w:rsidR="00217CED">
        <w:rPr>
          <w:sz w:val="24"/>
          <w:szCs w:val="24"/>
        </w:rPr>
        <w:t xml:space="preserve">môže akceptovať </w:t>
      </w:r>
      <w:r>
        <w:rPr>
          <w:sz w:val="24"/>
          <w:szCs w:val="24"/>
        </w:rPr>
        <w:t>námietk</w:t>
      </w:r>
      <w:r w:rsidR="00217CED">
        <w:rPr>
          <w:sz w:val="24"/>
          <w:szCs w:val="24"/>
        </w:rPr>
        <w:t>u</w:t>
      </w:r>
      <w:r>
        <w:rPr>
          <w:sz w:val="24"/>
          <w:szCs w:val="24"/>
        </w:rPr>
        <w:t xml:space="preserve"> spoločnosti Orange, že ukladať povinnosť prístupu už prepojenému podniku je absurdné</w:t>
      </w:r>
      <w:r w:rsidR="00DC46F6">
        <w:rPr>
          <w:sz w:val="24"/>
          <w:szCs w:val="24"/>
        </w:rPr>
        <w:t>.</w:t>
      </w:r>
      <w:r>
        <w:rPr>
          <w:sz w:val="24"/>
          <w:szCs w:val="24"/>
        </w:rPr>
        <w:t xml:space="preserve"> </w:t>
      </w:r>
      <w:r w:rsidR="00DC46F6">
        <w:rPr>
          <w:sz w:val="24"/>
          <w:szCs w:val="24"/>
        </w:rPr>
        <w:t>Aký</w:t>
      </w:r>
      <w:r>
        <w:rPr>
          <w:sz w:val="24"/>
          <w:szCs w:val="24"/>
        </w:rPr>
        <w:t xml:space="preserve">koľvek </w:t>
      </w:r>
      <w:r w:rsidR="00DC46F6">
        <w:rPr>
          <w:sz w:val="24"/>
          <w:szCs w:val="24"/>
        </w:rPr>
        <w:t xml:space="preserve">nový podnik </w:t>
      </w:r>
      <w:r>
        <w:rPr>
          <w:sz w:val="24"/>
          <w:szCs w:val="24"/>
        </w:rPr>
        <w:t xml:space="preserve">môže </w:t>
      </w:r>
      <w:r w:rsidR="00DC46F6">
        <w:rPr>
          <w:sz w:val="24"/>
          <w:szCs w:val="24"/>
        </w:rPr>
        <w:t xml:space="preserve">kedykoľvek </w:t>
      </w:r>
      <w:r>
        <w:rPr>
          <w:sz w:val="24"/>
          <w:szCs w:val="24"/>
        </w:rPr>
        <w:t xml:space="preserve">vyžadovať prepojenie od </w:t>
      </w:r>
      <w:r w:rsidR="00DC46F6">
        <w:rPr>
          <w:sz w:val="24"/>
          <w:szCs w:val="24"/>
        </w:rPr>
        <w:t xml:space="preserve">spoločnosti Orange a každého iného </w:t>
      </w:r>
      <w:r>
        <w:rPr>
          <w:sz w:val="24"/>
          <w:szCs w:val="24"/>
        </w:rPr>
        <w:t xml:space="preserve">významného podniku. </w:t>
      </w:r>
      <w:r w:rsidR="00DC46F6">
        <w:rPr>
          <w:sz w:val="24"/>
          <w:szCs w:val="24"/>
        </w:rPr>
        <w:t>Preto je k</w:t>
      </w:r>
      <w:r w:rsidR="00C540C0">
        <w:rPr>
          <w:sz w:val="24"/>
          <w:szCs w:val="24"/>
        </w:rPr>
        <w:t xml:space="preserve">aždý významný podnik povinný splniť </w:t>
      </w:r>
      <w:r w:rsidR="00C540C0" w:rsidRPr="00C540C0">
        <w:rPr>
          <w:sz w:val="24"/>
          <w:szCs w:val="24"/>
        </w:rPr>
        <w:t>odôvodnenú a opodstatnenú žiadosť na používanie určitých prvkov siete a pridružených  prostriedkov a odôvodnenú a opodstatnenú žiadosť o prepojenie siet</w:t>
      </w:r>
      <w:r w:rsidR="007D56FE">
        <w:rPr>
          <w:sz w:val="24"/>
          <w:szCs w:val="24"/>
        </w:rPr>
        <w:t>í</w:t>
      </w:r>
      <w:r w:rsidR="00C540C0" w:rsidRPr="00C540C0">
        <w:rPr>
          <w:sz w:val="24"/>
          <w:szCs w:val="24"/>
        </w:rPr>
        <w:t>.</w:t>
      </w:r>
      <w:r w:rsidR="00461C97">
        <w:rPr>
          <w:sz w:val="24"/>
          <w:szCs w:val="24"/>
        </w:rPr>
        <w:t xml:space="preserve"> </w:t>
      </w:r>
    </w:p>
    <w:p w:rsidR="007D56FE" w:rsidRDefault="007D56FE" w:rsidP="00DE66FD">
      <w:pPr>
        <w:spacing w:line="276" w:lineRule="auto"/>
        <w:jc w:val="both"/>
        <w:rPr>
          <w:sz w:val="24"/>
          <w:szCs w:val="24"/>
        </w:rPr>
      </w:pPr>
    </w:p>
    <w:p w:rsidR="009012D3" w:rsidRDefault="00703A93" w:rsidP="00DE66FD">
      <w:pPr>
        <w:spacing w:line="276" w:lineRule="auto"/>
        <w:jc w:val="both"/>
        <w:rPr>
          <w:sz w:val="24"/>
          <w:szCs w:val="24"/>
        </w:rPr>
      </w:pPr>
      <w:r>
        <w:rPr>
          <w:sz w:val="24"/>
          <w:szCs w:val="24"/>
        </w:rPr>
        <w:t>Zdôvodnenie každej jednotlivej navrhnutej povinností je v analýze v časti III.2.3 Odôvodnenie navrhovaných povinností.</w:t>
      </w:r>
    </w:p>
    <w:p w:rsidR="00C540C0" w:rsidRDefault="00C540C0" w:rsidP="00DE66FD">
      <w:pPr>
        <w:spacing w:line="276" w:lineRule="auto"/>
        <w:jc w:val="both"/>
        <w:rPr>
          <w:sz w:val="24"/>
          <w:szCs w:val="24"/>
        </w:rPr>
      </w:pPr>
    </w:p>
    <w:p w:rsidR="008D65C6" w:rsidRDefault="00595926" w:rsidP="00DE66FD">
      <w:pPr>
        <w:spacing w:line="276" w:lineRule="auto"/>
        <w:jc w:val="both"/>
        <w:rPr>
          <w:b/>
          <w:sz w:val="24"/>
          <w:szCs w:val="24"/>
        </w:rPr>
      </w:pPr>
      <w:r>
        <w:rPr>
          <w:b/>
          <w:sz w:val="24"/>
          <w:szCs w:val="24"/>
        </w:rPr>
        <w:t>Pripomienka neakceptovaná</w:t>
      </w:r>
    </w:p>
    <w:p w:rsidR="008D65C6" w:rsidRDefault="008D65C6" w:rsidP="00DE66FD">
      <w:pPr>
        <w:spacing w:line="276" w:lineRule="auto"/>
        <w:jc w:val="both"/>
        <w:rPr>
          <w:b/>
          <w:sz w:val="24"/>
          <w:szCs w:val="24"/>
        </w:rPr>
      </w:pPr>
    </w:p>
    <w:p w:rsidR="00595926" w:rsidRDefault="00595926" w:rsidP="00DE66FD">
      <w:pPr>
        <w:spacing w:line="276" w:lineRule="auto"/>
        <w:jc w:val="both"/>
        <w:rPr>
          <w:b/>
          <w:sz w:val="24"/>
          <w:szCs w:val="24"/>
        </w:rPr>
      </w:pPr>
    </w:p>
    <w:p w:rsidR="00595926" w:rsidRPr="008D65C6" w:rsidRDefault="00595926" w:rsidP="00DE66FD">
      <w:pPr>
        <w:spacing w:line="276" w:lineRule="auto"/>
        <w:jc w:val="both"/>
        <w:rPr>
          <w:b/>
          <w:sz w:val="24"/>
          <w:szCs w:val="24"/>
        </w:rPr>
      </w:pPr>
    </w:p>
    <w:p w:rsidR="00C23F5C" w:rsidRDefault="00C23F5C" w:rsidP="00DE66FD">
      <w:pPr>
        <w:spacing w:line="276" w:lineRule="auto"/>
        <w:jc w:val="both"/>
        <w:rPr>
          <w:b/>
          <w:sz w:val="24"/>
          <w:szCs w:val="24"/>
        </w:rPr>
      </w:pPr>
      <w:r w:rsidRPr="0039633E">
        <w:rPr>
          <w:b/>
          <w:sz w:val="24"/>
          <w:szCs w:val="24"/>
        </w:rPr>
        <w:t>I.1.4.1 Vecné vymedzenie relevantného trhu č. 3</w:t>
      </w:r>
    </w:p>
    <w:p w:rsidR="00F82512" w:rsidRPr="0039633E" w:rsidRDefault="00F82512" w:rsidP="00DE66FD">
      <w:pPr>
        <w:spacing w:line="276" w:lineRule="auto"/>
        <w:jc w:val="both"/>
        <w:rPr>
          <w:b/>
          <w:sz w:val="24"/>
          <w:szCs w:val="24"/>
        </w:rPr>
      </w:pPr>
    </w:p>
    <w:p w:rsidR="008D65C6" w:rsidRDefault="008D65C6" w:rsidP="00DE66FD">
      <w:pPr>
        <w:spacing w:line="276" w:lineRule="auto"/>
        <w:jc w:val="both"/>
        <w:rPr>
          <w:sz w:val="24"/>
          <w:szCs w:val="24"/>
        </w:rPr>
      </w:pPr>
    </w:p>
    <w:p w:rsidR="008D65C6" w:rsidRPr="00094697" w:rsidRDefault="008D65C6" w:rsidP="00DE66FD">
      <w:pPr>
        <w:spacing w:line="276" w:lineRule="auto"/>
        <w:jc w:val="both"/>
        <w:rPr>
          <w:b/>
          <w:sz w:val="24"/>
          <w:szCs w:val="24"/>
          <w:u w:val="single"/>
        </w:rPr>
      </w:pPr>
      <w:r w:rsidRPr="00094697">
        <w:rPr>
          <w:b/>
          <w:sz w:val="24"/>
          <w:szCs w:val="24"/>
          <w:u w:val="single"/>
        </w:rPr>
        <w:t>Stanovisko úradu</w:t>
      </w:r>
      <w:r w:rsidR="00DE66FD" w:rsidRPr="00094697">
        <w:rPr>
          <w:b/>
          <w:sz w:val="24"/>
          <w:szCs w:val="24"/>
          <w:u w:val="single"/>
        </w:rPr>
        <w:t xml:space="preserve"> k</w:t>
      </w:r>
      <w:r w:rsidR="00595926" w:rsidRPr="00094697">
        <w:rPr>
          <w:b/>
          <w:sz w:val="24"/>
          <w:szCs w:val="24"/>
          <w:u w:val="single"/>
        </w:rPr>
        <w:t> </w:t>
      </w:r>
      <w:r w:rsidR="00DC46F6" w:rsidRPr="00094697">
        <w:rPr>
          <w:b/>
          <w:sz w:val="24"/>
          <w:szCs w:val="24"/>
          <w:u w:val="single"/>
        </w:rPr>
        <w:t xml:space="preserve">bodom </w:t>
      </w:r>
      <w:r w:rsidR="00764836">
        <w:rPr>
          <w:b/>
          <w:sz w:val="24"/>
          <w:szCs w:val="24"/>
          <w:u w:val="single"/>
        </w:rPr>
        <w:t xml:space="preserve">č. </w:t>
      </w:r>
      <w:r w:rsidR="00DC46F6" w:rsidRPr="00094697">
        <w:rPr>
          <w:b/>
          <w:sz w:val="24"/>
          <w:szCs w:val="24"/>
          <w:u w:val="single"/>
        </w:rPr>
        <w:t>2</w:t>
      </w:r>
      <w:r w:rsidR="00764836">
        <w:rPr>
          <w:b/>
          <w:sz w:val="24"/>
          <w:szCs w:val="24"/>
          <w:u w:val="single"/>
        </w:rPr>
        <w:t xml:space="preserve"> až č. </w:t>
      </w:r>
      <w:r w:rsidR="00DC46F6" w:rsidRPr="00094697">
        <w:rPr>
          <w:b/>
          <w:sz w:val="24"/>
          <w:szCs w:val="24"/>
          <w:u w:val="single"/>
        </w:rPr>
        <w:t xml:space="preserve">4 </w:t>
      </w:r>
      <w:r w:rsidR="00595926" w:rsidRPr="00094697">
        <w:rPr>
          <w:b/>
          <w:sz w:val="24"/>
          <w:szCs w:val="24"/>
          <w:u w:val="single"/>
        </w:rPr>
        <w:t>stanovisk</w:t>
      </w:r>
      <w:r w:rsidR="00DC46F6" w:rsidRPr="00094697">
        <w:rPr>
          <w:b/>
          <w:sz w:val="24"/>
          <w:szCs w:val="24"/>
          <w:u w:val="single"/>
        </w:rPr>
        <w:t>a</w:t>
      </w:r>
      <w:r w:rsidR="00595926" w:rsidRPr="00094697">
        <w:rPr>
          <w:b/>
          <w:sz w:val="24"/>
          <w:szCs w:val="24"/>
          <w:u w:val="single"/>
        </w:rPr>
        <w:t xml:space="preserve"> spoločnosti Orange</w:t>
      </w:r>
    </w:p>
    <w:p w:rsidR="008D65C6" w:rsidRDefault="008D65C6" w:rsidP="00DE66FD">
      <w:pPr>
        <w:spacing w:line="276" w:lineRule="auto"/>
        <w:jc w:val="both"/>
        <w:rPr>
          <w:b/>
          <w:sz w:val="24"/>
          <w:szCs w:val="24"/>
        </w:rPr>
      </w:pPr>
    </w:p>
    <w:p w:rsidR="00426CED" w:rsidRPr="00094697" w:rsidRDefault="00AF7AC5" w:rsidP="00094697">
      <w:pPr>
        <w:spacing w:line="276" w:lineRule="auto"/>
        <w:jc w:val="both"/>
        <w:rPr>
          <w:sz w:val="24"/>
          <w:szCs w:val="24"/>
        </w:rPr>
      </w:pPr>
      <w:r>
        <w:rPr>
          <w:sz w:val="24"/>
          <w:szCs w:val="24"/>
        </w:rPr>
        <w:t>Úrad na základe odpovedí od jednotlivých podnikov zistil, že v</w:t>
      </w:r>
      <w:r w:rsidR="00EE373C">
        <w:rPr>
          <w:sz w:val="24"/>
          <w:szCs w:val="24"/>
        </w:rPr>
        <w:t xml:space="preserve">šetky podniky, ktoré </w:t>
      </w:r>
      <w:r w:rsidR="00EE373C" w:rsidRPr="00C43FE5">
        <w:rPr>
          <w:sz w:val="24"/>
          <w:szCs w:val="24"/>
        </w:rPr>
        <w:t xml:space="preserve">poskytujú </w:t>
      </w:r>
      <w:r w:rsidR="00DC46F6">
        <w:rPr>
          <w:sz w:val="24"/>
          <w:szCs w:val="24"/>
        </w:rPr>
        <w:t xml:space="preserve">veľkoobchodné služby ukončovania volania </w:t>
      </w:r>
      <w:r w:rsidR="00EE373C" w:rsidRPr="00C43FE5">
        <w:rPr>
          <w:sz w:val="24"/>
          <w:szCs w:val="24"/>
        </w:rPr>
        <w:t xml:space="preserve">v pevnom mieste pripojenia nevedia rozlíšiť, že </w:t>
      </w:r>
      <w:r w:rsidR="007459B0" w:rsidRPr="00C43FE5">
        <w:rPr>
          <w:sz w:val="24"/>
          <w:szCs w:val="24"/>
        </w:rPr>
        <w:t xml:space="preserve">ukončované </w:t>
      </w:r>
      <w:r w:rsidR="00EE373C" w:rsidRPr="00C43FE5">
        <w:rPr>
          <w:sz w:val="24"/>
          <w:szCs w:val="24"/>
        </w:rPr>
        <w:t xml:space="preserve">volanie bolo zostavené ako nemanažovaná VoIP služba a takéto volanie ukončujú rovnako, ako akékoľvek iné prichádzajúce štandardné volanie. Volania zostavené </w:t>
      </w:r>
      <w:r w:rsidR="00EE373C" w:rsidRPr="00EE373C">
        <w:rPr>
          <w:sz w:val="24"/>
          <w:szCs w:val="24"/>
        </w:rPr>
        <w:t>prostredníctvom nemanažovanej VoIP služby</w:t>
      </w:r>
      <w:r w:rsidR="00EE373C" w:rsidRPr="00C43FE5">
        <w:rPr>
          <w:sz w:val="24"/>
          <w:szCs w:val="24"/>
        </w:rPr>
        <w:t xml:space="preserve"> prichádzajú do jednotlivých sietí podnikov už „konvertované“ a teda majú rovnaké charakteristiky</w:t>
      </w:r>
      <w:r w:rsidR="00F3173F" w:rsidRPr="00830629">
        <w:rPr>
          <w:sz w:val="24"/>
          <w:szCs w:val="24"/>
        </w:rPr>
        <w:t xml:space="preserve">, </w:t>
      </w:r>
      <w:r w:rsidR="00EE373C" w:rsidRPr="00BE4FA0">
        <w:rPr>
          <w:sz w:val="24"/>
          <w:szCs w:val="24"/>
        </w:rPr>
        <w:t>ako štandardn</w:t>
      </w:r>
      <w:r w:rsidR="00F3173F" w:rsidRPr="00284311">
        <w:rPr>
          <w:sz w:val="24"/>
          <w:szCs w:val="24"/>
        </w:rPr>
        <w:t>é</w:t>
      </w:r>
      <w:r w:rsidR="00EE373C" w:rsidRPr="007E640C">
        <w:rPr>
          <w:sz w:val="24"/>
          <w:szCs w:val="24"/>
        </w:rPr>
        <w:t xml:space="preserve"> volania vzniknut</w:t>
      </w:r>
      <w:r w:rsidR="00F3173F" w:rsidRPr="00094697">
        <w:rPr>
          <w:sz w:val="24"/>
          <w:szCs w:val="24"/>
        </w:rPr>
        <w:t>é</w:t>
      </w:r>
      <w:r w:rsidR="00EE373C" w:rsidRPr="00094697">
        <w:rPr>
          <w:sz w:val="24"/>
          <w:szCs w:val="24"/>
        </w:rPr>
        <w:t xml:space="preserve"> v akejkoľvek </w:t>
      </w:r>
      <w:r w:rsidR="00F3173F" w:rsidRPr="00094697">
        <w:rPr>
          <w:sz w:val="24"/>
          <w:szCs w:val="24"/>
        </w:rPr>
        <w:t>inej sieti</w:t>
      </w:r>
      <w:r w:rsidR="00EE373C" w:rsidRPr="00094697">
        <w:rPr>
          <w:sz w:val="24"/>
          <w:szCs w:val="24"/>
        </w:rPr>
        <w:t>.</w:t>
      </w:r>
      <w:r w:rsidR="009012D3" w:rsidRPr="00094697">
        <w:rPr>
          <w:sz w:val="24"/>
          <w:szCs w:val="24"/>
        </w:rPr>
        <w:t xml:space="preserve"> </w:t>
      </w:r>
      <w:r w:rsidR="004E5AF0" w:rsidRPr="00094697">
        <w:rPr>
          <w:sz w:val="24"/>
          <w:szCs w:val="24"/>
        </w:rPr>
        <w:t xml:space="preserve">Ukončovanie takýchto volaní </w:t>
      </w:r>
      <w:r w:rsidR="00426CED" w:rsidRPr="00094697">
        <w:rPr>
          <w:sz w:val="24"/>
          <w:szCs w:val="24"/>
        </w:rPr>
        <w:t xml:space="preserve">na geografické čísla </w:t>
      </w:r>
      <w:r w:rsidR="004E5AF0" w:rsidRPr="00094697">
        <w:rPr>
          <w:sz w:val="24"/>
          <w:szCs w:val="24"/>
        </w:rPr>
        <w:t>je</w:t>
      </w:r>
      <w:r w:rsidR="009012D3" w:rsidRPr="00C43FE5">
        <w:rPr>
          <w:sz w:val="24"/>
          <w:szCs w:val="24"/>
        </w:rPr>
        <w:t xml:space="preserve"> z hľadiska funkcionality a zastupiteľnosti na základe technických charakteristík, ceny a účelu použitia, ako aj homogenity podmienok pri ich ukončovaní zastupiteľné s ukončovaním štandardných volaní. </w:t>
      </w:r>
      <w:r w:rsidR="00B40C93" w:rsidRPr="00830629">
        <w:rPr>
          <w:sz w:val="24"/>
          <w:szCs w:val="24"/>
        </w:rPr>
        <w:t xml:space="preserve">Podniky vo svojich </w:t>
      </w:r>
      <w:r w:rsidR="00B40C93" w:rsidRPr="00BE4FA0">
        <w:rPr>
          <w:sz w:val="24"/>
          <w:szCs w:val="24"/>
        </w:rPr>
        <w:t>odpovediach uviedli, že do objemu ukončených volaní zahrnuli aj takéto volania a</w:t>
      </w:r>
      <w:r w:rsidR="00B40C93" w:rsidRPr="00284311">
        <w:rPr>
          <w:sz w:val="24"/>
          <w:szCs w:val="24"/>
        </w:rPr>
        <w:t> </w:t>
      </w:r>
      <w:r w:rsidR="00B40C93" w:rsidRPr="007E640C">
        <w:rPr>
          <w:sz w:val="24"/>
          <w:szCs w:val="24"/>
        </w:rPr>
        <w:t xml:space="preserve">že </w:t>
      </w:r>
      <w:r w:rsidR="00B40C93" w:rsidRPr="00094697">
        <w:rPr>
          <w:sz w:val="24"/>
          <w:szCs w:val="24"/>
        </w:rPr>
        <w:t xml:space="preserve">ich </w:t>
      </w:r>
      <w:r w:rsidR="009012D3" w:rsidRPr="00094697">
        <w:rPr>
          <w:sz w:val="24"/>
          <w:szCs w:val="24"/>
        </w:rPr>
        <w:t>nie je možné oddeliť od celkového objemu ukončovanej prevádzky</w:t>
      </w:r>
      <w:r w:rsidR="00426CED" w:rsidRPr="00094697">
        <w:rPr>
          <w:sz w:val="24"/>
          <w:szCs w:val="24"/>
        </w:rPr>
        <w:t xml:space="preserve">, teda netvoria ďalšiu </w:t>
      </w:r>
      <w:r w:rsidR="00DC46F6">
        <w:rPr>
          <w:sz w:val="24"/>
          <w:szCs w:val="24"/>
        </w:rPr>
        <w:t xml:space="preserve">samostatnú </w:t>
      </w:r>
      <w:r w:rsidR="00426CED" w:rsidRPr="00094697">
        <w:rPr>
          <w:sz w:val="24"/>
          <w:szCs w:val="24"/>
        </w:rPr>
        <w:t>kategóriu volaní</w:t>
      </w:r>
      <w:r w:rsidR="00B40C93" w:rsidRPr="00C43FE5">
        <w:rPr>
          <w:sz w:val="24"/>
          <w:szCs w:val="24"/>
        </w:rPr>
        <w:t xml:space="preserve">. </w:t>
      </w:r>
    </w:p>
    <w:p w:rsidR="00B40C93" w:rsidRPr="00094697" w:rsidRDefault="00B40C93" w:rsidP="00094697">
      <w:pPr>
        <w:spacing w:line="276" w:lineRule="auto"/>
        <w:jc w:val="both"/>
        <w:rPr>
          <w:sz w:val="24"/>
          <w:szCs w:val="24"/>
        </w:rPr>
      </w:pPr>
      <w:r w:rsidRPr="00094697">
        <w:rPr>
          <w:sz w:val="24"/>
          <w:szCs w:val="24"/>
        </w:rPr>
        <w:lastRenderedPageBreak/>
        <w:t xml:space="preserve">Služba ukončovania volania na geografické čísla v sieti </w:t>
      </w:r>
      <w:r w:rsidR="00DC46F6">
        <w:rPr>
          <w:sz w:val="24"/>
          <w:szCs w:val="24"/>
        </w:rPr>
        <w:t xml:space="preserve">v pevnom umiestnení </w:t>
      </w:r>
      <w:r w:rsidRPr="00094697">
        <w:rPr>
          <w:sz w:val="24"/>
          <w:szCs w:val="24"/>
        </w:rPr>
        <w:t xml:space="preserve">môže byť poskytovaná tradičnou technológiou – s prepojovaním okruhov (PSTN sieť), ale aj prostredníctvom IP protokolu a zahŕňa: </w:t>
      </w:r>
    </w:p>
    <w:p w:rsidR="00B40C93" w:rsidRPr="00094697" w:rsidRDefault="00B40C93" w:rsidP="00094697">
      <w:pPr>
        <w:spacing w:line="276" w:lineRule="auto"/>
        <w:jc w:val="both"/>
        <w:rPr>
          <w:sz w:val="24"/>
          <w:szCs w:val="24"/>
        </w:rPr>
      </w:pPr>
      <w:r w:rsidRPr="00094697">
        <w:rPr>
          <w:sz w:val="24"/>
          <w:szCs w:val="24"/>
        </w:rPr>
        <w:t xml:space="preserve">a) ukončenie volaní zostavených vo vlastnej sieti, </w:t>
      </w:r>
    </w:p>
    <w:p w:rsidR="00B40C93" w:rsidRPr="00094697" w:rsidRDefault="00B40C93" w:rsidP="00094697">
      <w:pPr>
        <w:spacing w:line="276" w:lineRule="auto"/>
        <w:jc w:val="both"/>
        <w:rPr>
          <w:sz w:val="24"/>
          <w:szCs w:val="24"/>
        </w:rPr>
      </w:pPr>
      <w:r w:rsidRPr="00094697">
        <w:rPr>
          <w:sz w:val="24"/>
          <w:szCs w:val="24"/>
        </w:rPr>
        <w:t xml:space="preserve">b) ukončenie volaní zostavených v inej národnej mobilnej alebo pevnej sieti, </w:t>
      </w:r>
    </w:p>
    <w:p w:rsidR="002843B3" w:rsidRDefault="00B40C93" w:rsidP="00094697">
      <w:pPr>
        <w:spacing w:line="276" w:lineRule="auto"/>
        <w:jc w:val="both"/>
        <w:rPr>
          <w:sz w:val="24"/>
          <w:szCs w:val="24"/>
        </w:rPr>
      </w:pPr>
      <w:r w:rsidRPr="00094697">
        <w:rPr>
          <w:sz w:val="24"/>
          <w:szCs w:val="24"/>
        </w:rPr>
        <w:t>c) ukončenie volaní zostavených v zahraničnej mobilnej alebo pevnej sieti.</w:t>
      </w:r>
    </w:p>
    <w:p w:rsidR="00B40C93" w:rsidRPr="00094697" w:rsidRDefault="00B40C93" w:rsidP="00094697">
      <w:pPr>
        <w:spacing w:line="276" w:lineRule="auto"/>
        <w:jc w:val="both"/>
        <w:rPr>
          <w:sz w:val="24"/>
          <w:szCs w:val="24"/>
        </w:rPr>
      </w:pPr>
    </w:p>
    <w:p w:rsidR="002843B3" w:rsidRDefault="00A324DA">
      <w:pPr>
        <w:spacing w:line="276" w:lineRule="auto"/>
        <w:jc w:val="both"/>
        <w:rPr>
          <w:sz w:val="24"/>
          <w:szCs w:val="24"/>
        </w:rPr>
      </w:pPr>
      <w:r>
        <w:rPr>
          <w:sz w:val="24"/>
          <w:szCs w:val="24"/>
        </w:rPr>
        <w:t>Ukončenie VoIP volania na geografické číslo konkrétneho koncového zákazníka je ukončované ako štandardné hlasové volanie.</w:t>
      </w:r>
    </w:p>
    <w:p w:rsidR="00B40C93" w:rsidRPr="00C43FE5" w:rsidRDefault="00B40C93">
      <w:pPr>
        <w:spacing w:line="276" w:lineRule="auto"/>
        <w:jc w:val="both"/>
        <w:rPr>
          <w:sz w:val="24"/>
          <w:szCs w:val="24"/>
        </w:rPr>
      </w:pPr>
      <w:r w:rsidRPr="00094697">
        <w:rPr>
          <w:sz w:val="24"/>
          <w:szCs w:val="24"/>
        </w:rPr>
        <w:t xml:space="preserve">Služba ukončovania volania v sieti v pevnom umiestnení zahŕňa aj ukončovanie takých volaní, ktoré boli zostavené prostredníctvom nainštalovanej aplikácie (napr. aplikácia </w:t>
      </w:r>
      <w:proofErr w:type="spellStart"/>
      <w:r w:rsidRPr="00094697">
        <w:rPr>
          <w:sz w:val="24"/>
          <w:szCs w:val="24"/>
        </w:rPr>
        <w:t>SkypeOut</w:t>
      </w:r>
      <w:proofErr w:type="spellEnd"/>
      <w:r w:rsidRPr="00094697">
        <w:rPr>
          <w:sz w:val="24"/>
          <w:szCs w:val="24"/>
        </w:rPr>
        <w:t xml:space="preserve"> a pod.) a následne ukončené na geografických číslach, ale nezahŕňa také volania, ktoré boli ukončené prostredníctvom nainštalovanej aplikácie (volania zo </w:t>
      </w:r>
      <w:proofErr w:type="spellStart"/>
      <w:r w:rsidRPr="00094697">
        <w:rPr>
          <w:sz w:val="24"/>
          <w:szCs w:val="24"/>
        </w:rPr>
        <w:t>Skype</w:t>
      </w:r>
      <w:proofErr w:type="spellEnd"/>
      <w:r w:rsidRPr="00094697">
        <w:rPr>
          <w:sz w:val="24"/>
          <w:szCs w:val="24"/>
        </w:rPr>
        <w:t xml:space="preserve"> na </w:t>
      </w:r>
      <w:proofErr w:type="spellStart"/>
      <w:r w:rsidRPr="00094697">
        <w:rPr>
          <w:sz w:val="24"/>
          <w:szCs w:val="24"/>
        </w:rPr>
        <w:t>Skype</w:t>
      </w:r>
      <w:proofErr w:type="spellEnd"/>
      <w:r w:rsidRPr="00094697">
        <w:rPr>
          <w:sz w:val="24"/>
          <w:szCs w:val="24"/>
        </w:rPr>
        <w:t xml:space="preserve"> a pod.). </w:t>
      </w:r>
    </w:p>
    <w:p w:rsidR="00B40C93" w:rsidRPr="00830629" w:rsidRDefault="00B40C93" w:rsidP="00DE66FD">
      <w:pPr>
        <w:spacing w:line="276" w:lineRule="auto"/>
        <w:jc w:val="both"/>
        <w:rPr>
          <w:sz w:val="24"/>
          <w:szCs w:val="24"/>
        </w:rPr>
      </w:pPr>
    </w:p>
    <w:p w:rsidR="00426CED" w:rsidRPr="00094697" w:rsidRDefault="007459B0">
      <w:pPr>
        <w:spacing w:line="276" w:lineRule="auto"/>
        <w:jc w:val="both"/>
        <w:rPr>
          <w:sz w:val="24"/>
          <w:szCs w:val="24"/>
        </w:rPr>
      </w:pPr>
      <w:r w:rsidRPr="00094697">
        <w:rPr>
          <w:sz w:val="24"/>
          <w:szCs w:val="24"/>
        </w:rPr>
        <w:t>Na základe uvedeného úrad nemal dôvod, aby sa zaoberal inými</w:t>
      </w:r>
      <w:r w:rsidR="004E5AF0" w:rsidRPr="00094697">
        <w:rPr>
          <w:sz w:val="24"/>
          <w:szCs w:val="24"/>
        </w:rPr>
        <w:t xml:space="preserve"> podnik</w:t>
      </w:r>
      <w:r w:rsidR="00BE4FA0">
        <w:rPr>
          <w:sz w:val="24"/>
          <w:szCs w:val="24"/>
        </w:rPr>
        <w:t>mi</w:t>
      </w:r>
      <w:r w:rsidR="004E5AF0" w:rsidRPr="007E640C">
        <w:rPr>
          <w:sz w:val="24"/>
          <w:szCs w:val="24"/>
        </w:rPr>
        <w:t xml:space="preserve"> a</w:t>
      </w:r>
      <w:r w:rsidR="00A324DA" w:rsidRPr="00094697">
        <w:rPr>
          <w:sz w:val="24"/>
          <w:szCs w:val="24"/>
        </w:rPr>
        <w:t> </w:t>
      </w:r>
      <w:r w:rsidR="004E5AF0" w:rsidRPr="00094697">
        <w:rPr>
          <w:sz w:val="24"/>
          <w:szCs w:val="24"/>
        </w:rPr>
        <w:t>ani</w:t>
      </w:r>
      <w:r w:rsidR="00A324DA" w:rsidRPr="00094697">
        <w:rPr>
          <w:sz w:val="24"/>
          <w:szCs w:val="24"/>
        </w:rPr>
        <w:t xml:space="preserve"> </w:t>
      </w:r>
      <w:r w:rsidR="004E5AF0" w:rsidRPr="00094697">
        <w:rPr>
          <w:sz w:val="24"/>
          <w:szCs w:val="24"/>
        </w:rPr>
        <w:t>tzv.</w:t>
      </w:r>
      <w:r w:rsidR="00A324DA" w:rsidRPr="00094697">
        <w:rPr>
          <w:sz w:val="24"/>
          <w:szCs w:val="24"/>
        </w:rPr>
        <w:t> </w:t>
      </w:r>
      <w:r w:rsidR="004E5AF0" w:rsidRPr="00094697">
        <w:rPr>
          <w:sz w:val="24"/>
          <w:szCs w:val="24"/>
        </w:rPr>
        <w:t xml:space="preserve">„over </w:t>
      </w:r>
      <w:proofErr w:type="spellStart"/>
      <w:r w:rsidR="004E5AF0" w:rsidRPr="00094697">
        <w:rPr>
          <w:sz w:val="24"/>
          <w:szCs w:val="24"/>
        </w:rPr>
        <w:t>the</w:t>
      </w:r>
      <w:proofErr w:type="spellEnd"/>
      <w:r w:rsidR="004E5AF0" w:rsidRPr="00094697">
        <w:rPr>
          <w:sz w:val="24"/>
          <w:szCs w:val="24"/>
        </w:rPr>
        <w:t xml:space="preserve"> top </w:t>
      </w:r>
      <w:proofErr w:type="spellStart"/>
      <w:r w:rsidR="004E5AF0" w:rsidRPr="00094697">
        <w:rPr>
          <w:sz w:val="24"/>
          <w:szCs w:val="24"/>
        </w:rPr>
        <w:t>players</w:t>
      </w:r>
      <w:proofErr w:type="spellEnd"/>
      <w:r w:rsidR="004E5AF0" w:rsidRPr="00094697">
        <w:rPr>
          <w:sz w:val="24"/>
          <w:szCs w:val="24"/>
        </w:rPr>
        <w:t xml:space="preserve">“, ktorí poskytujú hlasové služby prostredníctvom aplikácií. </w:t>
      </w:r>
      <w:r w:rsidR="00426CED" w:rsidRPr="00094697" w:rsidDel="00426CED">
        <w:rPr>
          <w:sz w:val="24"/>
          <w:szCs w:val="24"/>
        </w:rPr>
        <w:t xml:space="preserve"> </w:t>
      </w:r>
    </w:p>
    <w:p w:rsidR="00B2535B" w:rsidRDefault="00B2535B" w:rsidP="00DE66FD">
      <w:pPr>
        <w:widowControl/>
        <w:autoSpaceDE/>
        <w:autoSpaceDN/>
        <w:adjustRightInd/>
        <w:spacing w:after="200" w:line="276" w:lineRule="auto"/>
        <w:jc w:val="both"/>
        <w:rPr>
          <w:b/>
          <w:sz w:val="24"/>
          <w:szCs w:val="24"/>
        </w:rPr>
      </w:pPr>
    </w:p>
    <w:p w:rsidR="00B2535B" w:rsidRDefault="00B2535B" w:rsidP="00B2535B">
      <w:pPr>
        <w:spacing w:line="276" w:lineRule="auto"/>
        <w:jc w:val="both"/>
        <w:rPr>
          <w:b/>
          <w:sz w:val="24"/>
          <w:szCs w:val="24"/>
        </w:rPr>
      </w:pPr>
      <w:r>
        <w:rPr>
          <w:b/>
          <w:sz w:val="24"/>
          <w:szCs w:val="24"/>
        </w:rPr>
        <w:t>Bod 5</w:t>
      </w:r>
    </w:p>
    <w:p w:rsidR="00442B84" w:rsidRDefault="00442B84" w:rsidP="00094697">
      <w:pPr>
        <w:pStyle w:val="Default"/>
        <w:spacing w:line="276" w:lineRule="auto"/>
        <w:jc w:val="both"/>
        <w:rPr>
          <w:b/>
          <w:u w:val="single"/>
        </w:rPr>
      </w:pPr>
    </w:p>
    <w:p w:rsidR="00764836" w:rsidRDefault="00B2535B" w:rsidP="00094697">
      <w:pPr>
        <w:pStyle w:val="Default"/>
        <w:spacing w:line="276" w:lineRule="auto"/>
        <w:jc w:val="both"/>
        <w:rPr>
          <w:b/>
          <w:u w:val="single"/>
        </w:rPr>
      </w:pPr>
      <w:r w:rsidRPr="00094697">
        <w:rPr>
          <w:b/>
          <w:u w:val="single"/>
        </w:rPr>
        <w:t>Návrh spoločnosti Orange</w:t>
      </w:r>
    </w:p>
    <w:p w:rsidR="002843B3" w:rsidRPr="00094697" w:rsidRDefault="002843B3" w:rsidP="00094697">
      <w:pPr>
        <w:pStyle w:val="Default"/>
        <w:spacing w:line="276" w:lineRule="auto"/>
        <w:jc w:val="both"/>
        <w:rPr>
          <w:b/>
          <w:u w:val="single"/>
        </w:rPr>
      </w:pPr>
    </w:p>
    <w:p w:rsidR="00B2535B" w:rsidRPr="00094697" w:rsidRDefault="00B2535B" w:rsidP="00094697">
      <w:pPr>
        <w:pStyle w:val="Default"/>
        <w:spacing w:line="276" w:lineRule="auto"/>
        <w:jc w:val="both"/>
      </w:pPr>
      <w:r w:rsidRPr="00094697">
        <w:t>Spoločnosť Orange žiada úrad, aby vysvetlil tvrdenie</w:t>
      </w:r>
      <w:r w:rsidR="007E640C">
        <w:t>, cit.:</w:t>
      </w:r>
      <w:r w:rsidR="005D0245" w:rsidRPr="00094697">
        <w:t xml:space="preserve"> „</w:t>
      </w:r>
      <w:r w:rsidR="005D0245" w:rsidRPr="00094697">
        <w:rPr>
          <w:i/>
          <w:sz w:val="23"/>
          <w:szCs w:val="23"/>
        </w:rPr>
        <w:t>Pri poskytovaní predmetnej služby je vždy príslušné volanie ukončované v konkrétnom koncovom bode určenom špecifickou sieťovou adresou a nie je ho možné z pohľadu zastupiteľnosti ukončiť v inom koncovom bode siete, na inej špecifickej sieťovej adrese</w:t>
      </w:r>
      <w:r w:rsidR="005D0245" w:rsidRPr="00094697">
        <w:rPr>
          <w:b/>
          <w:bCs/>
          <w:i/>
          <w:sz w:val="23"/>
          <w:szCs w:val="23"/>
        </w:rPr>
        <w:t>“</w:t>
      </w:r>
      <w:r w:rsidR="005D0245" w:rsidRPr="00BE4FA0">
        <w:rPr>
          <w:b/>
          <w:bCs/>
          <w:sz w:val="23"/>
          <w:szCs w:val="23"/>
        </w:rPr>
        <w:t xml:space="preserve"> </w:t>
      </w:r>
      <w:r w:rsidR="005D0245" w:rsidRPr="00094697">
        <w:t xml:space="preserve">a aby </w:t>
      </w:r>
      <w:r w:rsidRPr="00094697">
        <w:t xml:space="preserve">v analýze spresnil, či službu ukončenia volania relevantné pre daný trh, ktoré sú zostavené v rôznych sieťach, sú relevantné pre daný trh, len ak boli ukončené vo vlastnej sieti podniku. </w:t>
      </w:r>
      <w:r w:rsidR="005D0245" w:rsidRPr="00094697">
        <w:t>Na záver tohto bodu spoločnosť Orange žiada</w:t>
      </w:r>
      <w:r w:rsidRPr="00094697">
        <w:t>, aby úrad spresnil svoje</w:t>
      </w:r>
      <w:r w:rsidR="005D0245" w:rsidRPr="00094697">
        <w:t xml:space="preserve"> tvrdenie</w:t>
      </w:r>
      <w:r w:rsidRPr="00094697">
        <w:t xml:space="preserve">, či len ukončovania volania prostredníctvom vlastnej siete je relevantné pre tento trh, prípadne, či volania zakončené prostredníctvom siete iného podniku sú službou na tomto relevantnom trhu. </w:t>
      </w:r>
    </w:p>
    <w:p w:rsidR="00B2535B" w:rsidRDefault="00B2535B" w:rsidP="00B2535B">
      <w:pPr>
        <w:widowControl/>
        <w:autoSpaceDE/>
        <w:autoSpaceDN/>
        <w:adjustRightInd/>
        <w:spacing w:after="200" w:line="276" w:lineRule="auto"/>
        <w:jc w:val="both"/>
        <w:rPr>
          <w:b/>
          <w:sz w:val="24"/>
          <w:szCs w:val="24"/>
        </w:rPr>
      </w:pPr>
    </w:p>
    <w:p w:rsidR="00E640CC" w:rsidRPr="00094697" w:rsidRDefault="00E640CC" w:rsidP="00DE66FD">
      <w:pPr>
        <w:spacing w:line="276" w:lineRule="auto"/>
        <w:jc w:val="both"/>
        <w:rPr>
          <w:b/>
          <w:sz w:val="24"/>
          <w:szCs w:val="24"/>
          <w:u w:val="single"/>
        </w:rPr>
      </w:pPr>
      <w:r w:rsidRPr="00094697">
        <w:rPr>
          <w:b/>
          <w:sz w:val="24"/>
          <w:szCs w:val="24"/>
          <w:u w:val="single"/>
        </w:rPr>
        <w:t xml:space="preserve">Stanovisko úradu </w:t>
      </w:r>
      <w:r w:rsidR="00DE66FD" w:rsidRPr="00094697">
        <w:rPr>
          <w:b/>
          <w:sz w:val="24"/>
          <w:szCs w:val="24"/>
          <w:u w:val="single"/>
        </w:rPr>
        <w:t>k</w:t>
      </w:r>
      <w:r w:rsidR="00595926" w:rsidRPr="00094697">
        <w:rPr>
          <w:b/>
          <w:sz w:val="24"/>
          <w:szCs w:val="24"/>
          <w:u w:val="single"/>
        </w:rPr>
        <w:t xml:space="preserve"> </w:t>
      </w:r>
      <w:r w:rsidR="002843B3" w:rsidRPr="00AB5F24">
        <w:rPr>
          <w:b/>
          <w:sz w:val="24"/>
          <w:szCs w:val="24"/>
          <w:u w:val="single"/>
        </w:rPr>
        <w:t>bod</w:t>
      </w:r>
      <w:r w:rsidR="002843B3">
        <w:rPr>
          <w:b/>
          <w:sz w:val="24"/>
          <w:szCs w:val="24"/>
          <w:u w:val="single"/>
        </w:rPr>
        <w:t>u</w:t>
      </w:r>
      <w:r w:rsidR="002843B3" w:rsidRPr="00AB5F24">
        <w:rPr>
          <w:b/>
          <w:sz w:val="24"/>
          <w:szCs w:val="24"/>
          <w:u w:val="single"/>
        </w:rPr>
        <w:t xml:space="preserve"> 5</w:t>
      </w:r>
    </w:p>
    <w:p w:rsidR="00442B84" w:rsidRDefault="00442B84" w:rsidP="00EB20D0">
      <w:pPr>
        <w:spacing w:line="276" w:lineRule="auto"/>
        <w:jc w:val="both"/>
        <w:rPr>
          <w:sz w:val="24"/>
          <w:szCs w:val="24"/>
        </w:rPr>
      </w:pPr>
    </w:p>
    <w:p w:rsidR="00E21043" w:rsidRDefault="00EB20D0" w:rsidP="00EB20D0">
      <w:pPr>
        <w:spacing w:line="276" w:lineRule="auto"/>
        <w:jc w:val="both"/>
        <w:rPr>
          <w:sz w:val="24"/>
          <w:szCs w:val="24"/>
        </w:rPr>
      </w:pPr>
      <w:r>
        <w:rPr>
          <w:sz w:val="24"/>
          <w:szCs w:val="24"/>
        </w:rPr>
        <w:t>Regulácia relevantného trhu č. 3 sa vzťahuje a uplatňuje len na pôsobenie každého jednotlivého podniku na veľkoobchodnej úrovni</w:t>
      </w:r>
      <w:r w:rsidR="00E21043">
        <w:rPr>
          <w:sz w:val="24"/>
          <w:szCs w:val="24"/>
        </w:rPr>
        <w:t xml:space="preserve"> na trhu </w:t>
      </w:r>
      <w:r w:rsidR="002843B3">
        <w:rPr>
          <w:sz w:val="24"/>
          <w:szCs w:val="24"/>
        </w:rPr>
        <w:t xml:space="preserve">služieb </w:t>
      </w:r>
      <w:r w:rsidR="00E21043">
        <w:rPr>
          <w:sz w:val="24"/>
          <w:szCs w:val="24"/>
        </w:rPr>
        <w:t>ukončovania volania v</w:t>
      </w:r>
      <w:r w:rsidR="005D0245">
        <w:rPr>
          <w:sz w:val="24"/>
          <w:szCs w:val="24"/>
        </w:rPr>
        <w:t> pevnom umiestení.</w:t>
      </w:r>
      <w:r w:rsidR="00E21043">
        <w:rPr>
          <w:sz w:val="24"/>
          <w:szCs w:val="24"/>
        </w:rPr>
        <w:t xml:space="preserve"> </w:t>
      </w:r>
      <w:r>
        <w:rPr>
          <w:sz w:val="24"/>
          <w:szCs w:val="24"/>
        </w:rPr>
        <w:t>Podstatný je fakt, že volanie bolo zostavené v</w:t>
      </w:r>
      <w:r w:rsidR="00A324DA">
        <w:rPr>
          <w:sz w:val="24"/>
          <w:szCs w:val="24"/>
        </w:rPr>
        <w:t xml:space="preserve"> jednej</w:t>
      </w:r>
      <w:r>
        <w:rPr>
          <w:sz w:val="24"/>
          <w:szCs w:val="24"/>
        </w:rPr>
        <w:t xml:space="preserve"> sieti a je určené pre zákazníka </w:t>
      </w:r>
      <w:r w:rsidR="00CF3FC3">
        <w:rPr>
          <w:sz w:val="24"/>
          <w:szCs w:val="24"/>
        </w:rPr>
        <w:t xml:space="preserve">pripojeného </w:t>
      </w:r>
      <w:r>
        <w:rPr>
          <w:sz w:val="24"/>
          <w:szCs w:val="24"/>
        </w:rPr>
        <w:t>v sieti druhého podniku</w:t>
      </w:r>
      <w:r w:rsidR="00A324DA">
        <w:rPr>
          <w:sz w:val="24"/>
          <w:szCs w:val="24"/>
        </w:rPr>
        <w:t xml:space="preserve">. Tento koncový zákazník je identifikovaný </w:t>
      </w:r>
      <w:r>
        <w:rPr>
          <w:sz w:val="24"/>
          <w:szCs w:val="24"/>
        </w:rPr>
        <w:t>geografick</w:t>
      </w:r>
      <w:r w:rsidR="00A324DA">
        <w:rPr>
          <w:sz w:val="24"/>
          <w:szCs w:val="24"/>
        </w:rPr>
        <w:t>ým</w:t>
      </w:r>
      <w:r>
        <w:rPr>
          <w:sz w:val="24"/>
          <w:szCs w:val="24"/>
        </w:rPr>
        <w:t xml:space="preserve"> číslo</w:t>
      </w:r>
      <w:r w:rsidR="00A324DA">
        <w:rPr>
          <w:sz w:val="24"/>
          <w:szCs w:val="24"/>
        </w:rPr>
        <w:t xml:space="preserve">m. </w:t>
      </w:r>
      <w:r w:rsidR="005D0245">
        <w:rPr>
          <w:sz w:val="24"/>
          <w:szCs w:val="24"/>
        </w:rPr>
        <w:t>Ak vytočí koncový užívateľ konkrétne geografické číslo</w:t>
      </w:r>
      <w:r w:rsidR="00CF3FC3">
        <w:rPr>
          <w:sz w:val="24"/>
          <w:szCs w:val="24"/>
        </w:rPr>
        <w:t>, tak ukončenie volania na toto</w:t>
      </w:r>
      <w:r w:rsidR="005D0245">
        <w:rPr>
          <w:sz w:val="24"/>
          <w:szCs w:val="24"/>
        </w:rPr>
        <w:t xml:space="preserve"> číslo nie je zastupiteľné s ukončením volania na iné číslo. </w:t>
      </w:r>
      <w:r w:rsidR="00CF3FC3">
        <w:rPr>
          <w:sz w:val="24"/>
          <w:szCs w:val="24"/>
        </w:rPr>
        <w:t>P</w:t>
      </w:r>
      <w:r w:rsidR="00E21043">
        <w:rPr>
          <w:sz w:val="24"/>
          <w:szCs w:val="24"/>
        </w:rPr>
        <w:t xml:space="preserve">odmienky poskytovania </w:t>
      </w:r>
      <w:r w:rsidR="002843B3">
        <w:rPr>
          <w:sz w:val="24"/>
          <w:szCs w:val="24"/>
        </w:rPr>
        <w:t xml:space="preserve">služby </w:t>
      </w:r>
      <w:r w:rsidR="00E21043">
        <w:rPr>
          <w:sz w:val="24"/>
          <w:szCs w:val="24"/>
        </w:rPr>
        <w:t xml:space="preserve">ukončovania volania v pevnom mieste pripojenia má </w:t>
      </w:r>
      <w:r w:rsidR="00E21043" w:rsidRPr="00B07E84">
        <w:rPr>
          <w:sz w:val="24"/>
          <w:szCs w:val="24"/>
        </w:rPr>
        <w:t xml:space="preserve">spoločnosť Orange dohodnuté v zmluve o prepojení </w:t>
      </w:r>
      <w:r w:rsidR="005D0245">
        <w:rPr>
          <w:sz w:val="24"/>
          <w:szCs w:val="24"/>
        </w:rPr>
        <w:t xml:space="preserve">svojej siete so </w:t>
      </w:r>
      <w:r w:rsidR="005D0245">
        <w:rPr>
          <w:sz w:val="24"/>
          <w:szCs w:val="24"/>
        </w:rPr>
        <w:lastRenderedPageBreak/>
        <w:t>sieťou iného podniku.</w:t>
      </w:r>
    </w:p>
    <w:p w:rsidR="00F82512" w:rsidRDefault="00E21043">
      <w:pPr>
        <w:spacing w:line="276" w:lineRule="auto"/>
        <w:jc w:val="both"/>
        <w:rPr>
          <w:sz w:val="24"/>
          <w:szCs w:val="24"/>
        </w:rPr>
      </w:pPr>
      <w:r>
        <w:rPr>
          <w:sz w:val="24"/>
          <w:szCs w:val="24"/>
        </w:rPr>
        <w:t>Koncové zariadenie</w:t>
      </w:r>
      <w:r w:rsidR="007E640C">
        <w:rPr>
          <w:sz w:val="24"/>
          <w:szCs w:val="24"/>
        </w:rPr>
        <w:t>,</w:t>
      </w:r>
      <w:r>
        <w:rPr>
          <w:sz w:val="24"/>
          <w:szCs w:val="24"/>
        </w:rPr>
        <w:t xml:space="preserve"> prostredníctvom ktorého sa </w:t>
      </w:r>
      <w:r w:rsidR="00442B84">
        <w:rPr>
          <w:sz w:val="24"/>
          <w:szCs w:val="24"/>
        </w:rPr>
        <w:t xml:space="preserve">prijíma </w:t>
      </w:r>
      <w:r>
        <w:rPr>
          <w:sz w:val="24"/>
          <w:szCs w:val="24"/>
        </w:rPr>
        <w:t>volanie na geografické číslo k</w:t>
      </w:r>
      <w:r w:rsidR="00B07E84">
        <w:rPr>
          <w:sz w:val="24"/>
          <w:szCs w:val="24"/>
        </w:rPr>
        <w:t xml:space="preserve">oncového užívateľa </w:t>
      </w:r>
      <w:r w:rsidR="00D86D09">
        <w:rPr>
          <w:sz w:val="24"/>
          <w:szCs w:val="24"/>
        </w:rPr>
        <w:t>nie je vo vzťahu k</w:t>
      </w:r>
      <w:r w:rsidR="00703A93">
        <w:rPr>
          <w:sz w:val="24"/>
          <w:szCs w:val="24"/>
        </w:rPr>
        <w:t> definícii a </w:t>
      </w:r>
      <w:r w:rsidR="0045273C">
        <w:rPr>
          <w:sz w:val="24"/>
          <w:szCs w:val="24"/>
        </w:rPr>
        <w:t xml:space="preserve">v konečnom dôsledku </w:t>
      </w:r>
      <w:r w:rsidR="00703A93">
        <w:rPr>
          <w:sz w:val="24"/>
          <w:szCs w:val="24"/>
        </w:rPr>
        <w:t xml:space="preserve">aj </w:t>
      </w:r>
      <w:r w:rsidR="00D86D09">
        <w:rPr>
          <w:sz w:val="24"/>
          <w:szCs w:val="24"/>
        </w:rPr>
        <w:t xml:space="preserve">regulácii tohto </w:t>
      </w:r>
      <w:r w:rsidR="005800A3">
        <w:rPr>
          <w:sz w:val="24"/>
          <w:szCs w:val="24"/>
        </w:rPr>
        <w:t xml:space="preserve">veľkoobchodného </w:t>
      </w:r>
      <w:r w:rsidR="00D86D09">
        <w:rPr>
          <w:sz w:val="24"/>
          <w:szCs w:val="24"/>
        </w:rPr>
        <w:t xml:space="preserve">trhu </w:t>
      </w:r>
      <w:r w:rsidR="00B07E84">
        <w:rPr>
          <w:sz w:val="24"/>
          <w:szCs w:val="24"/>
        </w:rPr>
        <w:t>relevantné</w:t>
      </w:r>
      <w:r w:rsidR="00D86D09">
        <w:rPr>
          <w:sz w:val="24"/>
          <w:szCs w:val="24"/>
        </w:rPr>
        <w:t>.</w:t>
      </w:r>
    </w:p>
    <w:p w:rsidR="00F82512" w:rsidRPr="00094697" w:rsidRDefault="00B07E84" w:rsidP="00DE66FD">
      <w:pPr>
        <w:spacing w:line="276" w:lineRule="auto"/>
        <w:jc w:val="both"/>
        <w:rPr>
          <w:sz w:val="24"/>
          <w:szCs w:val="24"/>
        </w:rPr>
      </w:pPr>
      <w:r>
        <w:rPr>
          <w:sz w:val="24"/>
          <w:szCs w:val="24"/>
        </w:rPr>
        <w:t xml:space="preserve">Spoločnosť Orange je významným podnikom na trhu </w:t>
      </w:r>
      <w:r w:rsidR="00442B84">
        <w:rPr>
          <w:sz w:val="24"/>
          <w:szCs w:val="24"/>
        </w:rPr>
        <w:t xml:space="preserve">veľkoobchodných služieb </w:t>
      </w:r>
      <w:r>
        <w:rPr>
          <w:sz w:val="24"/>
          <w:szCs w:val="24"/>
        </w:rPr>
        <w:t>ukončovania volania v pevnom umiestnení v sieti spoločnosti Orange napriek tomu</w:t>
      </w:r>
      <w:r w:rsidR="00442B84">
        <w:rPr>
          <w:sz w:val="24"/>
          <w:szCs w:val="24"/>
        </w:rPr>
        <w:t>,</w:t>
      </w:r>
      <w:r>
        <w:rPr>
          <w:sz w:val="24"/>
          <w:szCs w:val="24"/>
        </w:rPr>
        <w:t xml:space="preserve"> že táto spoločnosť </w:t>
      </w:r>
      <w:r w:rsidRPr="00FF1B00">
        <w:rPr>
          <w:sz w:val="24"/>
          <w:szCs w:val="24"/>
        </w:rPr>
        <w:t xml:space="preserve">poskytuje </w:t>
      </w:r>
      <w:r>
        <w:rPr>
          <w:sz w:val="24"/>
          <w:szCs w:val="24"/>
        </w:rPr>
        <w:t>verejnú telefónnu službu v pevnom mieste pripojenia aj prostredníctvom svojej pevnej aj prostredníctvom mobilnej siete. Táto skutočnosť nemá vplyv na závery analýzy</w:t>
      </w:r>
      <w:r w:rsidR="00442B84">
        <w:rPr>
          <w:sz w:val="24"/>
          <w:szCs w:val="24"/>
        </w:rPr>
        <w:t xml:space="preserve"> relevantného trhu č. 3</w:t>
      </w:r>
      <w:r>
        <w:rPr>
          <w:sz w:val="24"/>
          <w:szCs w:val="24"/>
        </w:rPr>
        <w:t xml:space="preserve">. </w:t>
      </w:r>
    </w:p>
    <w:p w:rsidR="00AE1F38" w:rsidRDefault="00AE1F38" w:rsidP="00DE66FD">
      <w:pPr>
        <w:spacing w:line="276" w:lineRule="auto"/>
        <w:jc w:val="both"/>
        <w:rPr>
          <w:b/>
          <w:sz w:val="24"/>
          <w:szCs w:val="24"/>
        </w:rPr>
      </w:pPr>
    </w:p>
    <w:p w:rsidR="00F82512" w:rsidRDefault="005D0245" w:rsidP="00DE66FD">
      <w:pPr>
        <w:spacing w:line="276" w:lineRule="auto"/>
        <w:jc w:val="both"/>
        <w:rPr>
          <w:b/>
          <w:sz w:val="24"/>
          <w:szCs w:val="24"/>
        </w:rPr>
      </w:pPr>
      <w:r>
        <w:rPr>
          <w:b/>
          <w:sz w:val="24"/>
          <w:szCs w:val="24"/>
        </w:rPr>
        <w:t xml:space="preserve">Pripomienka akceptovaná </w:t>
      </w:r>
    </w:p>
    <w:p w:rsidR="005D0245" w:rsidRDefault="005D0245" w:rsidP="00DE66FD">
      <w:pPr>
        <w:spacing w:line="276" w:lineRule="auto"/>
        <w:jc w:val="both"/>
        <w:rPr>
          <w:b/>
          <w:sz w:val="24"/>
          <w:szCs w:val="24"/>
        </w:rPr>
      </w:pPr>
    </w:p>
    <w:p w:rsidR="00CF3FC3" w:rsidRDefault="00CF3FC3" w:rsidP="00DE66FD">
      <w:pPr>
        <w:spacing w:line="276" w:lineRule="auto"/>
        <w:jc w:val="both"/>
        <w:rPr>
          <w:b/>
          <w:sz w:val="24"/>
          <w:szCs w:val="24"/>
        </w:rPr>
      </w:pPr>
    </w:p>
    <w:p w:rsidR="00764836" w:rsidRDefault="00764836" w:rsidP="00DE66FD">
      <w:pPr>
        <w:spacing w:line="276" w:lineRule="auto"/>
        <w:jc w:val="both"/>
        <w:rPr>
          <w:b/>
          <w:sz w:val="24"/>
          <w:szCs w:val="24"/>
        </w:rPr>
      </w:pPr>
    </w:p>
    <w:p w:rsidR="00AE1F38" w:rsidRDefault="00AE1F38" w:rsidP="00DE66FD">
      <w:pPr>
        <w:spacing w:line="276" w:lineRule="auto"/>
        <w:jc w:val="both"/>
        <w:rPr>
          <w:b/>
          <w:sz w:val="24"/>
          <w:szCs w:val="24"/>
        </w:rPr>
      </w:pPr>
      <w:r>
        <w:rPr>
          <w:b/>
          <w:sz w:val="24"/>
          <w:szCs w:val="24"/>
        </w:rPr>
        <w:t xml:space="preserve">K II.1 Identifikovanie podnikov na relevantnom trhu č. 3 </w:t>
      </w:r>
    </w:p>
    <w:p w:rsidR="00AE1F38" w:rsidRDefault="00AE1F38" w:rsidP="00DE66FD">
      <w:pPr>
        <w:spacing w:line="276" w:lineRule="auto"/>
        <w:jc w:val="both"/>
        <w:rPr>
          <w:b/>
          <w:sz w:val="24"/>
          <w:szCs w:val="24"/>
        </w:rPr>
      </w:pPr>
    </w:p>
    <w:p w:rsidR="00841CB8" w:rsidRPr="00094697" w:rsidRDefault="00841CB8" w:rsidP="00DE66FD">
      <w:pPr>
        <w:spacing w:line="276" w:lineRule="auto"/>
        <w:jc w:val="both"/>
        <w:rPr>
          <w:b/>
          <w:sz w:val="24"/>
          <w:szCs w:val="24"/>
          <w:u w:val="single"/>
        </w:rPr>
      </w:pPr>
      <w:r w:rsidRPr="00094697">
        <w:rPr>
          <w:b/>
          <w:sz w:val="24"/>
          <w:szCs w:val="24"/>
          <w:u w:val="single"/>
        </w:rPr>
        <w:t xml:space="preserve">Stanovisko úradu </w:t>
      </w:r>
      <w:r w:rsidR="00DE66FD" w:rsidRPr="00094697">
        <w:rPr>
          <w:b/>
          <w:sz w:val="24"/>
          <w:szCs w:val="24"/>
          <w:u w:val="single"/>
        </w:rPr>
        <w:t>k bodu 6</w:t>
      </w:r>
    </w:p>
    <w:p w:rsidR="00442B84" w:rsidRDefault="00442B84" w:rsidP="009E0E53">
      <w:pPr>
        <w:spacing w:line="276" w:lineRule="auto"/>
        <w:jc w:val="both"/>
        <w:rPr>
          <w:sz w:val="24"/>
          <w:szCs w:val="24"/>
        </w:rPr>
      </w:pPr>
    </w:p>
    <w:p w:rsidR="009E0E53" w:rsidRDefault="00BC2CA9" w:rsidP="009E0E53">
      <w:pPr>
        <w:spacing w:line="276" w:lineRule="auto"/>
        <w:jc w:val="both"/>
        <w:rPr>
          <w:sz w:val="24"/>
          <w:szCs w:val="24"/>
        </w:rPr>
      </w:pPr>
      <w:r>
        <w:rPr>
          <w:sz w:val="24"/>
          <w:szCs w:val="24"/>
        </w:rPr>
        <w:t xml:space="preserve">V analýze v časti I.1.4.1 Vecné vymedzenie </w:t>
      </w:r>
      <w:r w:rsidR="00640020">
        <w:rPr>
          <w:sz w:val="24"/>
          <w:szCs w:val="24"/>
        </w:rPr>
        <w:t>relevantného trhu č. 3 sa úrad v písm. b) veľmi podrobne zaoberal zastupiteľnosťou služieb</w:t>
      </w:r>
      <w:r w:rsidR="00442B84">
        <w:rPr>
          <w:sz w:val="24"/>
          <w:szCs w:val="24"/>
        </w:rPr>
        <w:t xml:space="preserve"> ukončovania volania</w:t>
      </w:r>
      <w:r w:rsidR="00640020">
        <w:rPr>
          <w:sz w:val="24"/>
          <w:szCs w:val="24"/>
        </w:rPr>
        <w:t xml:space="preserve"> v pevnom mieste pripojenia prostredníctvom rôznych typov sietí (táto analýza je spracovaná na takmer štyroch stranách). </w:t>
      </w:r>
      <w:r w:rsidR="007E640C">
        <w:rPr>
          <w:sz w:val="24"/>
          <w:szCs w:val="24"/>
        </w:rPr>
        <w:t xml:space="preserve">Na konci </w:t>
      </w:r>
      <w:r w:rsidR="00640020">
        <w:rPr>
          <w:sz w:val="24"/>
          <w:szCs w:val="24"/>
        </w:rPr>
        <w:t xml:space="preserve">tejto kapitoly úrad dospel k jednoznačnému záveru. Úrad v závere </w:t>
      </w:r>
      <w:r w:rsidR="00B5524A">
        <w:rPr>
          <w:sz w:val="24"/>
          <w:szCs w:val="24"/>
        </w:rPr>
        <w:t xml:space="preserve">citovanej kapitoly </w:t>
      </w:r>
      <w:r w:rsidR="00640020">
        <w:rPr>
          <w:sz w:val="24"/>
          <w:szCs w:val="24"/>
        </w:rPr>
        <w:t xml:space="preserve">uviedol, že </w:t>
      </w:r>
      <w:r w:rsidR="00640020" w:rsidRPr="00640020">
        <w:rPr>
          <w:sz w:val="24"/>
          <w:szCs w:val="24"/>
        </w:rPr>
        <w:t xml:space="preserve">tak z hľadiska ponuky ako aj dopytu považuje verejnú telefónnu službu poskytovanú prostredníctvom  optickej a mobilnej siete na pevnom mieste pripojenia (pri dodržaní technických a technologických podmienok pre obmedzenie mobility koncového bodu) za zastupiteľnú k verejnej telefónnej službe prostredníctvom pevnej verejnej telefónnej siete. </w:t>
      </w:r>
      <w:r w:rsidR="00640020">
        <w:rPr>
          <w:sz w:val="24"/>
          <w:szCs w:val="24"/>
        </w:rPr>
        <w:t xml:space="preserve">Súčasne </w:t>
      </w:r>
      <w:r w:rsidR="005F7C36">
        <w:rPr>
          <w:sz w:val="24"/>
          <w:szCs w:val="24"/>
        </w:rPr>
        <w:t>úrad uviedol, že p</w:t>
      </w:r>
      <w:r w:rsidR="00640020" w:rsidRPr="005F7C36">
        <w:rPr>
          <w:sz w:val="24"/>
          <w:szCs w:val="24"/>
        </w:rPr>
        <w:t>odmienkou pôsobenia na predmetnom trhu je</w:t>
      </w:r>
      <w:r w:rsidR="005F7C36">
        <w:rPr>
          <w:sz w:val="24"/>
          <w:szCs w:val="24"/>
        </w:rPr>
        <w:t xml:space="preserve"> to</w:t>
      </w:r>
      <w:r w:rsidR="00640020" w:rsidRPr="005F7C36">
        <w:rPr>
          <w:sz w:val="24"/>
          <w:szCs w:val="24"/>
        </w:rPr>
        <w:t>, že poloha koncového bodu sa nemení a</w:t>
      </w:r>
      <w:r w:rsidR="005F7C36">
        <w:rPr>
          <w:sz w:val="24"/>
          <w:szCs w:val="24"/>
        </w:rPr>
        <w:t> koncový bod je definovaný</w:t>
      </w:r>
      <w:r w:rsidR="00640020" w:rsidRPr="005F7C36">
        <w:rPr>
          <w:sz w:val="24"/>
          <w:szCs w:val="24"/>
        </w:rPr>
        <w:t xml:space="preserve"> konkrétnym geografickým číslom.</w:t>
      </w:r>
      <w:r w:rsidR="00B5524A">
        <w:rPr>
          <w:sz w:val="24"/>
          <w:szCs w:val="24"/>
        </w:rPr>
        <w:t xml:space="preserve"> Geografické číslo patrí do číselnej množiny vždy len jedného konkrétneho podniku.</w:t>
      </w:r>
      <w:r w:rsidR="009E0E53">
        <w:rPr>
          <w:sz w:val="24"/>
          <w:szCs w:val="24"/>
        </w:rPr>
        <w:t xml:space="preserve"> </w:t>
      </w:r>
    </w:p>
    <w:p w:rsidR="009E0E53" w:rsidRDefault="009E0E53" w:rsidP="009E0E53">
      <w:pPr>
        <w:spacing w:line="276" w:lineRule="auto"/>
        <w:jc w:val="both"/>
        <w:rPr>
          <w:sz w:val="24"/>
          <w:szCs w:val="24"/>
        </w:rPr>
      </w:pPr>
      <w:r>
        <w:rPr>
          <w:sz w:val="24"/>
          <w:szCs w:val="24"/>
        </w:rPr>
        <w:t>Spoločnosť Orange je významným podnikom na trhu ukončovania volania v pevnom umiestnení v sieti spoločnosti Orange napriek tomu</w:t>
      </w:r>
      <w:r w:rsidR="00442B84">
        <w:rPr>
          <w:sz w:val="24"/>
          <w:szCs w:val="24"/>
        </w:rPr>
        <w:t>,</w:t>
      </w:r>
      <w:r>
        <w:rPr>
          <w:sz w:val="24"/>
          <w:szCs w:val="24"/>
        </w:rPr>
        <w:t xml:space="preserve"> že táto spoločnosť </w:t>
      </w:r>
      <w:r w:rsidRPr="00FF1B00">
        <w:rPr>
          <w:sz w:val="24"/>
          <w:szCs w:val="24"/>
        </w:rPr>
        <w:t xml:space="preserve">poskytuje </w:t>
      </w:r>
      <w:r>
        <w:rPr>
          <w:sz w:val="24"/>
          <w:szCs w:val="24"/>
        </w:rPr>
        <w:t xml:space="preserve">verejnú telefónnu službu v pevnom mieste pripojenia aj prostredníctvom svojej pevnej aj prostredníctvom mobilnej siete. Táto skutočnosť nemá vplyv na závery analýzy. </w:t>
      </w:r>
    </w:p>
    <w:p w:rsidR="005869EE" w:rsidRDefault="005869EE" w:rsidP="009E0E53">
      <w:pPr>
        <w:spacing w:line="276" w:lineRule="auto"/>
        <w:jc w:val="both"/>
        <w:rPr>
          <w:sz w:val="24"/>
          <w:szCs w:val="24"/>
        </w:rPr>
      </w:pPr>
    </w:p>
    <w:p w:rsidR="00CA54FC" w:rsidRDefault="00CA54FC" w:rsidP="009E0E53">
      <w:pPr>
        <w:spacing w:line="276" w:lineRule="auto"/>
        <w:jc w:val="both"/>
        <w:rPr>
          <w:b/>
          <w:sz w:val="24"/>
          <w:szCs w:val="24"/>
        </w:rPr>
      </w:pPr>
      <w:r>
        <w:rPr>
          <w:b/>
          <w:sz w:val="24"/>
          <w:szCs w:val="24"/>
        </w:rPr>
        <w:t>Bod 7</w:t>
      </w:r>
    </w:p>
    <w:p w:rsidR="00764836" w:rsidRDefault="00764836" w:rsidP="009E0E53">
      <w:pPr>
        <w:spacing w:line="276" w:lineRule="auto"/>
        <w:jc w:val="both"/>
        <w:rPr>
          <w:b/>
          <w:sz w:val="24"/>
          <w:szCs w:val="24"/>
        </w:rPr>
      </w:pPr>
    </w:p>
    <w:p w:rsidR="00442B84" w:rsidRDefault="00832101" w:rsidP="009E0E53">
      <w:pPr>
        <w:spacing w:line="276" w:lineRule="auto"/>
        <w:jc w:val="both"/>
        <w:rPr>
          <w:b/>
          <w:sz w:val="24"/>
          <w:szCs w:val="24"/>
          <w:u w:val="single"/>
        </w:rPr>
      </w:pPr>
      <w:r w:rsidRPr="00094697">
        <w:rPr>
          <w:b/>
          <w:sz w:val="24"/>
          <w:szCs w:val="24"/>
          <w:u w:val="single"/>
        </w:rPr>
        <w:t>Návrh spoločnosti Orange</w:t>
      </w:r>
    </w:p>
    <w:p w:rsidR="00442B84" w:rsidRDefault="00442B84" w:rsidP="009E0E53">
      <w:pPr>
        <w:spacing w:line="276" w:lineRule="auto"/>
        <w:jc w:val="both"/>
        <w:rPr>
          <w:b/>
          <w:sz w:val="24"/>
          <w:szCs w:val="24"/>
        </w:rPr>
      </w:pPr>
    </w:p>
    <w:p w:rsidR="00832101" w:rsidRPr="00094697" w:rsidRDefault="00832101" w:rsidP="009E0E53">
      <w:pPr>
        <w:spacing w:line="276" w:lineRule="auto"/>
        <w:jc w:val="both"/>
        <w:rPr>
          <w:b/>
          <w:sz w:val="24"/>
          <w:szCs w:val="24"/>
        </w:rPr>
      </w:pPr>
      <w:r w:rsidRPr="00094697">
        <w:rPr>
          <w:sz w:val="24"/>
          <w:szCs w:val="24"/>
        </w:rPr>
        <w:t>Spoločnosť Orange navrhuje, aby úrad určil za významný podnik všetky podniky, ktoré na danom relevantnom trhu poskytujú služby ukončovania volania, teda aj lokálne podniky.</w:t>
      </w:r>
    </w:p>
    <w:p w:rsidR="00832101" w:rsidRDefault="00832101" w:rsidP="00DE66FD">
      <w:pPr>
        <w:spacing w:line="276" w:lineRule="auto"/>
        <w:jc w:val="both"/>
        <w:rPr>
          <w:sz w:val="24"/>
          <w:szCs w:val="24"/>
        </w:rPr>
      </w:pPr>
    </w:p>
    <w:p w:rsidR="00841CB8" w:rsidRPr="00094697" w:rsidRDefault="00841CB8" w:rsidP="00DE66FD">
      <w:pPr>
        <w:spacing w:line="276" w:lineRule="auto"/>
        <w:jc w:val="both"/>
        <w:rPr>
          <w:b/>
          <w:sz w:val="24"/>
          <w:szCs w:val="24"/>
          <w:u w:val="single"/>
        </w:rPr>
      </w:pPr>
      <w:r w:rsidRPr="00094697">
        <w:rPr>
          <w:b/>
          <w:sz w:val="24"/>
          <w:szCs w:val="24"/>
          <w:u w:val="single"/>
        </w:rPr>
        <w:lastRenderedPageBreak/>
        <w:t xml:space="preserve">Stanovisko úradu </w:t>
      </w:r>
      <w:r w:rsidR="00DE66FD" w:rsidRPr="00094697">
        <w:rPr>
          <w:b/>
          <w:sz w:val="24"/>
          <w:szCs w:val="24"/>
          <w:u w:val="single"/>
        </w:rPr>
        <w:t>k bodu 7</w:t>
      </w:r>
    </w:p>
    <w:p w:rsidR="00015186" w:rsidRPr="00FF5334" w:rsidRDefault="00015186" w:rsidP="00DE66FD">
      <w:pPr>
        <w:spacing w:line="276" w:lineRule="auto"/>
        <w:jc w:val="both"/>
        <w:rPr>
          <w:b/>
          <w:sz w:val="24"/>
          <w:szCs w:val="24"/>
        </w:rPr>
      </w:pPr>
    </w:p>
    <w:p w:rsidR="00015186" w:rsidRPr="00094697" w:rsidRDefault="00015186" w:rsidP="00015186">
      <w:pPr>
        <w:spacing w:line="276" w:lineRule="auto"/>
        <w:jc w:val="both"/>
        <w:outlineLvl w:val="0"/>
        <w:rPr>
          <w:sz w:val="24"/>
          <w:szCs w:val="24"/>
        </w:rPr>
      </w:pPr>
      <w:r w:rsidRPr="00094697">
        <w:rPr>
          <w:sz w:val="24"/>
          <w:szCs w:val="24"/>
        </w:rPr>
        <w:t>Úrad sa v časti II.1 Identifikovanie podnikov v analýze relevantného trhu č. 3, ktorá bola  predložená na národné konzultácie, podrobnejšie zaoberal štyrmi podnikmi, ktoré od predchádzajúcej analýzy začali poskytovať veľkoobchodné služby ukončovania volania v pevnom mieste pripojenia a uzatvorili zmluvu o prepojení najmenej s jedným určeným významným podnikom (</w:t>
      </w:r>
      <w:r w:rsidR="007E640C">
        <w:rPr>
          <w:sz w:val="24"/>
          <w:szCs w:val="24"/>
        </w:rPr>
        <w:t>tento</w:t>
      </w:r>
      <w:r w:rsidRPr="00094697">
        <w:rPr>
          <w:sz w:val="24"/>
          <w:szCs w:val="24"/>
        </w:rPr>
        <w:t xml:space="preserve"> bol za významný podnik určený po druhom kole analýzy relevantného trhu č. 3). V tejto časti úrad uviedol, že okrem uvedených spoločností, ktoré mali uzatvorenú zmluvu o prepojení sietí najmenej s jedným podnikom, poskytovali verejnú telefónnu službu v pevnom umiestnení pre svojich koncových zákazníkov aj malí lokálni prevádzkovatelia. Títo lokálni prevádzkovatelia poskytovali svojim zákazníkom hlasové služby na geografické čísla, ktoré mali charakter verejnej telefónnej služby. Avšak títo poskytovatelia nemali so žiadnym podnikom podpísanú zmluvu o prepojení verejných telefónnych sietí a nemali primárne pridelené geografické čísla (resp. tieto primárne pridelené geografické čísla nevyužívajú) ale poskytovali hlasové služby prostredníctvom pobočkovej ústredne v rámci areálu nejakej spoločnosti (pričom táto pobočková ústredňa bola pripojená ako koncové zariadenie na sieť podniku, ktorý mal uzavretú zmluvu o prepojení sietí s iným podnikom), prípadne poskytovali hlasovú službu koncovým zákazníkom ako opakovaný predaj jednému z podnikov, ktorý mal uzatvorenú zmluvu o prepojení sietí s iným podnikom, alebo poskytoval hlasovú službu na číslach pridelených jednému z podnikov, ktorý mal uzatvorenú zmluvu o prepojení sietí s iným podnikom. </w:t>
      </w:r>
    </w:p>
    <w:p w:rsidR="00015186" w:rsidRPr="00094697" w:rsidRDefault="00015186" w:rsidP="00015186">
      <w:pPr>
        <w:spacing w:line="276" w:lineRule="auto"/>
        <w:jc w:val="both"/>
        <w:rPr>
          <w:sz w:val="24"/>
          <w:szCs w:val="24"/>
        </w:rPr>
      </w:pPr>
    </w:p>
    <w:p w:rsidR="00015186" w:rsidRPr="00094697" w:rsidRDefault="00015186" w:rsidP="00015186">
      <w:pPr>
        <w:spacing w:line="276" w:lineRule="auto"/>
        <w:ind w:right="-142" w:firstLine="708"/>
        <w:jc w:val="both"/>
        <w:rPr>
          <w:sz w:val="24"/>
          <w:szCs w:val="24"/>
        </w:rPr>
      </w:pPr>
      <w:r w:rsidRPr="00094697">
        <w:rPr>
          <w:sz w:val="24"/>
          <w:szCs w:val="24"/>
        </w:rPr>
        <w:t>Úrad ďalej uviedol, že vykonával analýzu maloobchodného relevantného trhu č. 1 (ktorý zahŕňa služby prístupu k verejnej telefónnej sieti v pevnom umiestnení pre bytových a nebytových zákazníkov) a počas tejto analýzy sa podrobne zaoberal a písomne komunikoval s podnikmi, ktoré boli označené ako malí lokálni poskytovatelia.</w:t>
      </w:r>
    </w:p>
    <w:p w:rsidR="00015186" w:rsidRPr="008D65C6" w:rsidRDefault="00015186" w:rsidP="00DE66FD">
      <w:pPr>
        <w:spacing w:line="276" w:lineRule="auto"/>
        <w:jc w:val="both"/>
        <w:rPr>
          <w:b/>
          <w:sz w:val="24"/>
          <w:szCs w:val="24"/>
        </w:rPr>
      </w:pPr>
    </w:p>
    <w:p w:rsidR="0084618E" w:rsidRPr="0084618E" w:rsidRDefault="0084618E" w:rsidP="00DE66FD">
      <w:pPr>
        <w:spacing w:line="276" w:lineRule="auto"/>
        <w:jc w:val="both"/>
        <w:rPr>
          <w:sz w:val="24"/>
          <w:szCs w:val="24"/>
        </w:rPr>
      </w:pPr>
      <w:r w:rsidRPr="0084618E">
        <w:rPr>
          <w:sz w:val="24"/>
          <w:szCs w:val="24"/>
        </w:rPr>
        <w:t>V priebehu analýzy relevantného trhu č. 3 úrad tento zoznam dodatočne preveril porovnaním s doručenými údajmi v rámci elektronického zberu dát</w:t>
      </w:r>
      <w:r w:rsidR="00B5524A">
        <w:rPr>
          <w:sz w:val="24"/>
          <w:szCs w:val="24"/>
        </w:rPr>
        <w:t xml:space="preserve"> za prvý polrok 2012</w:t>
      </w:r>
      <w:r w:rsidRPr="0084618E">
        <w:rPr>
          <w:sz w:val="24"/>
          <w:szCs w:val="24"/>
        </w:rPr>
        <w:t xml:space="preserve">. </w:t>
      </w:r>
    </w:p>
    <w:p w:rsidR="00BC2CA9" w:rsidRDefault="00B5524A" w:rsidP="00DE66FD">
      <w:pPr>
        <w:spacing w:line="276" w:lineRule="auto"/>
        <w:jc w:val="both"/>
        <w:rPr>
          <w:sz w:val="24"/>
          <w:szCs w:val="24"/>
        </w:rPr>
      </w:pPr>
      <w:r>
        <w:rPr>
          <w:sz w:val="24"/>
          <w:szCs w:val="24"/>
        </w:rPr>
        <w:t>P</w:t>
      </w:r>
      <w:r w:rsidR="00222A58">
        <w:rPr>
          <w:sz w:val="24"/>
          <w:szCs w:val="24"/>
        </w:rPr>
        <w:t xml:space="preserve">odniky označené ako malí lokálni poskytovatelia na základe </w:t>
      </w:r>
      <w:r w:rsidR="0084618E" w:rsidRPr="0084618E">
        <w:rPr>
          <w:sz w:val="24"/>
          <w:szCs w:val="24"/>
        </w:rPr>
        <w:t>dôvodov uvedených aj v </w:t>
      </w:r>
      <w:r w:rsidR="0084618E">
        <w:rPr>
          <w:sz w:val="24"/>
          <w:szCs w:val="24"/>
        </w:rPr>
        <w:t>analýze</w:t>
      </w:r>
      <w:r w:rsidR="0084618E" w:rsidRPr="0084618E">
        <w:rPr>
          <w:sz w:val="24"/>
          <w:szCs w:val="24"/>
        </w:rPr>
        <w:t xml:space="preserve"> </w:t>
      </w:r>
      <w:r w:rsidR="00222A58">
        <w:rPr>
          <w:sz w:val="24"/>
          <w:szCs w:val="24"/>
        </w:rPr>
        <w:t xml:space="preserve">a </w:t>
      </w:r>
      <w:r w:rsidR="0084618E" w:rsidRPr="0084618E">
        <w:rPr>
          <w:sz w:val="24"/>
          <w:szCs w:val="24"/>
        </w:rPr>
        <w:t xml:space="preserve">aj </w:t>
      </w:r>
      <w:r w:rsidR="00222A58">
        <w:rPr>
          <w:sz w:val="24"/>
          <w:szCs w:val="24"/>
        </w:rPr>
        <w:t>v tomto stanovisku,</w:t>
      </w:r>
      <w:r w:rsidR="005800A3">
        <w:rPr>
          <w:sz w:val="24"/>
          <w:szCs w:val="24"/>
        </w:rPr>
        <w:t xml:space="preserve"> </w:t>
      </w:r>
      <w:r>
        <w:rPr>
          <w:sz w:val="24"/>
          <w:szCs w:val="24"/>
        </w:rPr>
        <w:t xml:space="preserve">úrad </w:t>
      </w:r>
      <w:r w:rsidR="005800A3">
        <w:rPr>
          <w:sz w:val="24"/>
          <w:szCs w:val="24"/>
        </w:rPr>
        <w:t>nenavrhol za významné podniky.</w:t>
      </w:r>
      <w:r w:rsidR="00BC2CA9">
        <w:rPr>
          <w:sz w:val="24"/>
          <w:szCs w:val="24"/>
        </w:rPr>
        <w:t xml:space="preserve"> </w:t>
      </w:r>
    </w:p>
    <w:p w:rsidR="005800A3" w:rsidRDefault="00B5524A" w:rsidP="00DE66FD">
      <w:pPr>
        <w:spacing w:line="276" w:lineRule="auto"/>
        <w:jc w:val="both"/>
        <w:rPr>
          <w:sz w:val="24"/>
          <w:szCs w:val="24"/>
        </w:rPr>
      </w:pPr>
      <w:r>
        <w:rPr>
          <w:sz w:val="24"/>
          <w:szCs w:val="24"/>
        </w:rPr>
        <w:t>V</w:t>
      </w:r>
      <w:r w:rsidR="00BC2CA9">
        <w:rPr>
          <w:sz w:val="24"/>
          <w:szCs w:val="24"/>
        </w:rPr>
        <w:t xml:space="preserve">yjadrenie spoločnosti Orange </w:t>
      </w:r>
      <w:r>
        <w:rPr>
          <w:sz w:val="24"/>
          <w:szCs w:val="24"/>
        </w:rPr>
        <w:t xml:space="preserve">nie je teda </w:t>
      </w:r>
      <w:r w:rsidR="00BC2CA9">
        <w:rPr>
          <w:sz w:val="24"/>
          <w:szCs w:val="24"/>
        </w:rPr>
        <w:t xml:space="preserve">pravdivé, </w:t>
      </w:r>
      <w:r>
        <w:rPr>
          <w:sz w:val="24"/>
          <w:szCs w:val="24"/>
        </w:rPr>
        <w:t>ú</w:t>
      </w:r>
      <w:r w:rsidR="00BC2CA9">
        <w:rPr>
          <w:sz w:val="24"/>
          <w:szCs w:val="24"/>
        </w:rPr>
        <w:t xml:space="preserve">rad sa zaoberal </w:t>
      </w:r>
      <w:r>
        <w:rPr>
          <w:sz w:val="24"/>
          <w:szCs w:val="24"/>
        </w:rPr>
        <w:t xml:space="preserve">aj </w:t>
      </w:r>
      <w:r w:rsidR="00BC2CA9">
        <w:rPr>
          <w:sz w:val="24"/>
          <w:szCs w:val="24"/>
        </w:rPr>
        <w:t>pôsobením malých lokálnych operátorov</w:t>
      </w:r>
      <w:r>
        <w:rPr>
          <w:sz w:val="24"/>
          <w:szCs w:val="24"/>
        </w:rPr>
        <w:t xml:space="preserve"> na predmetnom trhu</w:t>
      </w:r>
      <w:r w:rsidR="00BC2CA9">
        <w:rPr>
          <w:sz w:val="24"/>
          <w:szCs w:val="24"/>
        </w:rPr>
        <w:t xml:space="preserve">. </w:t>
      </w:r>
    </w:p>
    <w:p w:rsidR="002F2F07" w:rsidRDefault="00222A58" w:rsidP="00DE66FD">
      <w:pPr>
        <w:spacing w:line="276" w:lineRule="auto"/>
        <w:jc w:val="both"/>
        <w:rPr>
          <w:sz w:val="24"/>
          <w:szCs w:val="24"/>
        </w:rPr>
      </w:pPr>
      <w:r>
        <w:rPr>
          <w:sz w:val="24"/>
          <w:szCs w:val="24"/>
        </w:rPr>
        <w:t>K </w:t>
      </w:r>
      <w:r w:rsidR="00FF5334">
        <w:rPr>
          <w:sz w:val="24"/>
          <w:szCs w:val="24"/>
        </w:rPr>
        <w:t xml:space="preserve">pôsobeniu </w:t>
      </w:r>
      <w:r>
        <w:rPr>
          <w:sz w:val="24"/>
          <w:szCs w:val="24"/>
        </w:rPr>
        <w:t xml:space="preserve">spoločnosti </w:t>
      </w:r>
      <w:r w:rsidR="00F173E7">
        <w:rPr>
          <w:sz w:val="24"/>
          <w:szCs w:val="24"/>
        </w:rPr>
        <w:t xml:space="preserve">ACS, spol. s r.o. </w:t>
      </w:r>
      <w:r>
        <w:rPr>
          <w:sz w:val="24"/>
          <w:szCs w:val="24"/>
        </w:rPr>
        <w:t>na relevantnom trhu č. 3</w:t>
      </w:r>
      <w:r w:rsidR="00FF5334">
        <w:rPr>
          <w:sz w:val="24"/>
          <w:szCs w:val="24"/>
        </w:rPr>
        <w:t>, na ktorú poukazuje spoločnosť Orange,</w:t>
      </w:r>
      <w:r>
        <w:rPr>
          <w:sz w:val="24"/>
          <w:szCs w:val="24"/>
        </w:rPr>
        <w:t xml:space="preserve"> úrad uvádza, že</w:t>
      </w:r>
      <w:r w:rsidR="00F173E7">
        <w:rPr>
          <w:sz w:val="24"/>
          <w:szCs w:val="24"/>
        </w:rPr>
        <w:t xml:space="preserve"> </w:t>
      </w:r>
      <w:r w:rsidR="002F2F07">
        <w:rPr>
          <w:sz w:val="24"/>
          <w:szCs w:val="24"/>
        </w:rPr>
        <w:t xml:space="preserve">táto spoločnosť </w:t>
      </w:r>
      <w:r w:rsidR="00FF5334">
        <w:rPr>
          <w:sz w:val="24"/>
          <w:szCs w:val="24"/>
        </w:rPr>
        <w:t>p</w:t>
      </w:r>
      <w:r w:rsidR="002F2F07">
        <w:rPr>
          <w:sz w:val="24"/>
          <w:szCs w:val="24"/>
        </w:rPr>
        <w:t>oskyt</w:t>
      </w:r>
      <w:r w:rsidR="00FF5334">
        <w:rPr>
          <w:sz w:val="24"/>
          <w:szCs w:val="24"/>
        </w:rPr>
        <w:t xml:space="preserve">uje verejnú  telefónnu službu v pevnom mieste pripojenia ako opakovaný predaj služieb spoločnosti GTS Slovakia, s.r.o. a jej koncovým užívateľom sú prideľované geografické </w:t>
      </w:r>
      <w:r w:rsidR="002F2F07">
        <w:rPr>
          <w:sz w:val="24"/>
          <w:szCs w:val="24"/>
        </w:rPr>
        <w:t xml:space="preserve">čísla z číselnej množiny </w:t>
      </w:r>
      <w:r w:rsidR="00FF5334">
        <w:rPr>
          <w:sz w:val="24"/>
          <w:szCs w:val="24"/>
        </w:rPr>
        <w:t xml:space="preserve">pridelenej </w:t>
      </w:r>
      <w:r w:rsidR="002F2F07">
        <w:rPr>
          <w:sz w:val="24"/>
          <w:szCs w:val="24"/>
        </w:rPr>
        <w:t>spoločnosti GTS Slovakia, s.r.o. Táto s</w:t>
      </w:r>
      <w:r w:rsidR="00B5524A">
        <w:rPr>
          <w:sz w:val="24"/>
          <w:szCs w:val="24"/>
        </w:rPr>
        <w:t>poločnosť nem</w:t>
      </w:r>
      <w:r w:rsidR="00015186">
        <w:rPr>
          <w:sz w:val="24"/>
          <w:szCs w:val="24"/>
        </w:rPr>
        <w:t xml:space="preserve">á so žiadnou spoločnosťou </w:t>
      </w:r>
      <w:r w:rsidR="002F2F07">
        <w:rPr>
          <w:sz w:val="24"/>
          <w:szCs w:val="24"/>
        </w:rPr>
        <w:t>uzatvorenú zmluvu o prepojení sietí.</w:t>
      </w:r>
      <w:r w:rsidR="00015186">
        <w:rPr>
          <w:sz w:val="24"/>
          <w:szCs w:val="24"/>
        </w:rPr>
        <w:t xml:space="preserve"> </w:t>
      </w:r>
      <w:r w:rsidR="00FF5334">
        <w:rPr>
          <w:sz w:val="24"/>
          <w:szCs w:val="24"/>
        </w:rPr>
        <w:t>Objem u</w:t>
      </w:r>
      <w:r w:rsidR="00015186">
        <w:rPr>
          <w:sz w:val="24"/>
          <w:szCs w:val="24"/>
        </w:rPr>
        <w:t>konč</w:t>
      </w:r>
      <w:r w:rsidR="00FF5334">
        <w:rPr>
          <w:sz w:val="24"/>
          <w:szCs w:val="24"/>
        </w:rPr>
        <w:t xml:space="preserve">ených </w:t>
      </w:r>
      <w:r w:rsidR="00015186">
        <w:rPr>
          <w:sz w:val="24"/>
          <w:szCs w:val="24"/>
        </w:rPr>
        <w:t>volaní koncovým užívateľom spoločnosti ACS, spol. s r.o.</w:t>
      </w:r>
      <w:r w:rsidR="00FF5334">
        <w:rPr>
          <w:sz w:val="24"/>
          <w:szCs w:val="24"/>
        </w:rPr>
        <w:t xml:space="preserve"> </w:t>
      </w:r>
      <w:r w:rsidR="00442B84">
        <w:rPr>
          <w:sz w:val="24"/>
          <w:szCs w:val="24"/>
        </w:rPr>
        <w:t>bol</w:t>
      </w:r>
      <w:r w:rsidR="00FF5334">
        <w:rPr>
          <w:sz w:val="24"/>
          <w:szCs w:val="24"/>
        </w:rPr>
        <w:t xml:space="preserve"> </w:t>
      </w:r>
      <w:r w:rsidR="00FF5334">
        <w:rPr>
          <w:sz w:val="24"/>
          <w:szCs w:val="24"/>
        </w:rPr>
        <w:lastRenderedPageBreak/>
        <w:t xml:space="preserve">zahrnutý v objeme ukončených volaní spoločnosti GTS Slovakia, s.r.o., výnosy z ukončenia týchto volaní </w:t>
      </w:r>
      <w:r w:rsidR="00442B84">
        <w:rPr>
          <w:sz w:val="24"/>
          <w:szCs w:val="24"/>
        </w:rPr>
        <w:t>boli</w:t>
      </w:r>
      <w:r w:rsidR="00FF5334">
        <w:rPr>
          <w:sz w:val="24"/>
          <w:szCs w:val="24"/>
        </w:rPr>
        <w:t xml:space="preserve"> zahrnuté vo výnosoch z ukončenia volaní spoločnosti GTS Slovakia, s.r.o., tieto volania </w:t>
      </w:r>
      <w:r w:rsidR="00B96596">
        <w:rPr>
          <w:sz w:val="24"/>
          <w:szCs w:val="24"/>
        </w:rPr>
        <w:t>boli</w:t>
      </w:r>
      <w:r w:rsidR="00FF5334">
        <w:rPr>
          <w:sz w:val="24"/>
          <w:szCs w:val="24"/>
        </w:rPr>
        <w:t xml:space="preserve"> ukončované na základe zmluvy o prepojení siete spoločnosti GTS Slovakia, s.r.o. so sieťou iného podniku a za regulované ceny. </w:t>
      </w:r>
    </w:p>
    <w:p w:rsidR="002F2F07" w:rsidRDefault="002F2F07" w:rsidP="00DE66FD">
      <w:pPr>
        <w:spacing w:line="276" w:lineRule="auto"/>
        <w:jc w:val="both"/>
        <w:rPr>
          <w:sz w:val="24"/>
          <w:szCs w:val="24"/>
        </w:rPr>
      </w:pPr>
    </w:p>
    <w:p w:rsidR="00C23F5C" w:rsidRDefault="00CA54FC" w:rsidP="00094697">
      <w:pPr>
        <w:spacing w:line="276" w:lineRule="auto"/>
        <w:jc w:val="both"/>
        <w:rPr>
          <w:rFonts w:ascii="Tahoma" w:hAnsi="Tahoma" w:cs="Tahoma"/>
        </w:rPr>
      </w:pPr>
      <w:r>
        <w:rPr>
          <w:b/>
          <w:sz w:val="24"/>
          <w:szCs w:val="24"/>
        </w:rPr>
        <w:t xml:space="preserve">Pripomienka neakceptovaná </w:t>
      </w:r>
    </w:p>
    <w:p w:rsidR="00841CB8" w:rsidRDefault="00841CB8" w:rsidP="00DE66FD">
      <w:pPr>
        <w:spacing w:line="276" w:lineRule="auto"/>
        <w:ind w:left="720"/>
        <w:jc w:val="both"/>
        <w:rPr>
          <w:rFonts w:ascii="Tahoma" w:hAnsi="Tahoma" w:cs="Tahoma"/>
        </w:rPr>
      </w:pPr>
    </w:p>
    <w:p w:rsidR="00764836" w:rsidRPr="008B09C9" w:rsidRDefault="00764836" w:rsidP="00DE66FD">
      <w:pPr>
        <w:spacing w:line="276" w:lineRule="auto"/>
        <w:ind w:left="720"/>
        <w:jc w:val="both"/>
        <w:rPr>
          <w:rFonts w:ascii="Tahoma" w:hAnsi="Tahoma" w:cs="Tahoma"/>
        </w:rPr>
      </w:pPr>
    </w:p>
    <w:p w:rsidR="00C23F5C" w:rsidRDefault="00C23F5C" w:rsidP="00DE66FD">
      <w:pPr>
        <w:spacing w:line="276" w:lineRule="auto"/>
        <w:jc w:val="both"/>
        <w:rPr>
          <w:b/>
          <w:sz w:val="24"/>
          <w:szCs w:val="24"/>
        </w:rPr>
      </w:pPr>
      <w:r w:rsidRPr="00A310D2">
        <w:rPr>
          <w:b/>
          <w:sz w:val="24"/>
          <w:szCs w:val="24"/>
        </w:rPr>
        <w:t>III.2.2 Návrh povinností pre podniky s významným vplyvom na relevantnom trhu č. 3</w:t>
      </w:r>
    </w:p>
    <w:p w:rsidR="00F82512" w:rsidRDefault="00F82512" w:rsidP="00DE66FD">
      <w:pPr>
        <w:spacing w:line="276" w:lineRule="auto"/>
        <w:jc w:val="both"/>
        <w:rPr>
          <w:b/>
          <w:sz w:val="24"/>
          <w:szCs w:val="24"/>
        </w:rPr>
      </w:pPr>
    </w:p>
    <w:p w:rsidR="00764836" w:rsidRDefault="00764836" w:rsidP="00DE66FD">
      <w:pPr>
        <w:spacing w:line="276" w:lineRule="auto"/>
        <w:jc w:val="both"/>
        <w:rPr>
          <w:b/>
          <w:sz w:val="24"/>
          <w:szCs w:val="24"/>
        </w:rPr>
      </w:pPr>
    </w:p>
    <w:p w:rsidR="00CA54FC" w:rsidRDefault="00CA54FC" w:rsidP="00CA54FC">
      <w:pPr>
        <w:spacing w:line="276" w:lineRule="auto"/>
        <w:jc w:val="both"/>
        <w:rPr>
          <w:b/>
          <w:sz w:val="24"/>
          <w:szCs w:val="24"/>
        </w:rPr>
      </w:pPr>
      <w:r>
        <w:rPr>
          <w:b/>
          <w:sz w:val="24"/>
          <w:szCs w:val="24"/>
        </w:rPr>
        <w:t>Bod 8</w:t>
      </w:r>
    </w:p>
    <w:p w:rsidR="00764836" w:rsidRDefault="00764836" w:rsidP="00CA54FC">
      <w:pPr>
        <w:spacing w:line="276" w:lineRule="auto"/>
        <w:jc w:val="both"/>
        <w:rPr>
          <w:b/>
          <w:sz w:val="24"/>
          <w:szCs w:val="24"/>
        </w:rPr>
      </w:pPr>
    </w:p>
    <w:p w:rsidR="00B96596" w:rsidRDefault="00CA54FC" w:rsidP="00094697">
      <w:pPr>
        <w:spacing w:line="276" w:lineRule="auto"/>
        <w:jc w:val="both"/>
        <w:rPr>
          <w:b/>
          <w:sz w:val="24"/>
          <w:szCs w:val="24"/>
          <w:u w:val="single"/>
        </w:rPr>
      </w:pPr>
      <w:r w:rsidRPr="00094697">
        <w:rPr>
          <w:b/>
          <w:sz w:val="24"/>
          <w:szCs w:val="24"/>
          <w:u w:val="single"/>
        </w:rPr>
        <w:t>Návrh spoločnosti Orange</w:t>
      </w:r>
    </w:p>
    <w:p w:rsidR="00B96596" w:rsidRDefault="00B96596" w:rsidP="00094697">
      <w:pPr>
        <w:spacing w:line="276" w:lineRule="auto"/>
        <w:jc w:val="both"/>
        <w:rPr>
          <w:b/>
          <w:sz w:val="24"/>
          <w:szCs w:val="24"/>
        </w:rPr>
      </w:pPr>
    </w:p>
    <w:p w:rsidR="00C23F5C" w:rsidRPr="00094697" w:rsidRDefault="00C23F5C" w:rsidP="00094697">
      <w:pPr>
        <w:spacing w:line="276" w:lineRule="auto"/>
        <w:jc w:val="both"/>
        <w:rPr>
          <w:sz w:val="24"/>
          <w:szCs w:val="24"/>
        </w:rPr>
      </w:pPr>
      <w:r w:rsidRPr="00094697">
        <w:rPr>
          <w:sz w:val="24"/>
          <w:szCs w:val="24"/>
        </w:rPr>
        <w:t xml:space="preserve">Spoločnosť Orange Slovensko, a.s. navrhuje, aby Úrad prehodnotil uložené povinnosti spoločnosti Orange z titulu, že poskytuje služby v pevnom umiestnení prostredníctvom mobilnej siete. V kontexte rozsahu uložených povinností, najmä povinnosti prístupu k určitým sieťovým prostriedkom podľa § 22 zákona sa tak spoločnosť Orange dostáva do pozície, že je povinná umožniť spoločné používanie infraštruktúry, vrátane stavieb, priestorov a častí vedení a prepojiť siete alebo sieťové prostriedky práve mobilnej siete, t.j. napr. </w:t>
      </w:r>
      <w:r w:rsidR="00A310D2" w:rsidRPr="00094697">
        <w:rPr>
          <w:sz w:val="24"/>
          <w:szCs w:val="24"/>
        </w:rPr>
        <w:t>typicky</w:t>
      </w:r>
      <w:r w:rsidRPr="00094697">
        <w:rPr>
          <w:sz w:val="24"/>
          <w:szCs w:val="24"/>
        </w:rPr>
        <w:t xml:space="preserve"> základňových staníc, a uvedené povinnosti tak idú nad rámec daného trhu a nad rámec želanej regulácie. Z uvedeného dôvodu navrhujeme, aby Úrad obmedzil povinnosť prístupu len na pevnú sieť (napr. … umožniť spoločné používanie infraštruktúry, vrátane stavieb, priestorov a častí vedení s výnimkou mobilných sietí ...). </w:t>
      </w:r>
    </w:p>
    <w:p w:rsidR="00E96704" w:rsidRDefault="00E96704" w:rsidP="00DE66FD">
      <w:pPr>
        <w:spacing w:line="276" w:lineRule="auto"/>
        <w:jc w:val="both"/>
        <w:rPr>
          <w:b/>
          <w:sz w:val="24"/>
          <w:szCs w:val="24"/>
        </w:rPr>
      </w:pPr>
    </w:p>
    <w:p w:rsidR="00841CB8" w:rsidRPr="00094697" w:rsidRDefault="00841CB8" w:rsidP="00DE66FD">
      <w:pPr>
        <w:spacing w:line="276" w:lineRule="auto"/>
        <w:jc w:val="both"/>
        <w:rPr>
          <w:b/>
          <w:sz w:val="24"/>
          <w:szCs w:val="24"/>
          <w:u w:val="single"/>
        </w:rPr>
      </w:pPr>
      <w:r w:rsidRPr="00094697">
        <w:rPr>
          <w:b/>
          <w:sz w:val="24"/>
          <w:szCs w:val="24"/>
          <w:u w:val="single"/>
        </w:rPr>
        <w:t>Stanovisko úradu</w:t>
      </w:r>
      <w:r w:rsidR="00DE66FD" w:rsidRPr="00094697">
        <w:rPr>
          <w:b/>
          <w:sz w:val="24"/>
          <w:szCs w:val="24"/>
          <w:u w:val="single"/>
        </w:rPr>
        <w:t xml:space="preserve"> k bodu 8</w:t>
      </w:r>
    </w:p>
    <w:p w:rsidR="00B96596" w:rsidRPr="008D65C6" w:rsidRDefault="00B96596" w:rsidP="00DE66FD">
      <w:pPr>
        <w:spacing w:line="276" w:lineRule="auto"/>
        <w:jc w:val="both"/>
        <w:rPr>
          <w:b/>
          <w:sz w:val="24"/>
          <w:szCs w:val="24"/>
        </w:rPr>
      </w:pPr>
    </w:p>
    <w:p w:rsidR="004E6429" w:rsidRDefault="00F37B5F" w:rsidP="00DE66FD">
      <w:pPr>
        <w:spacing w:line="276" w:lineRule="auto"/>
        <w:jc w:val="both"/>
        <w:rPr>
          <w:sz w:val="24"/>
          <w:szCs w:val="24"/>
        </w:rPr>
      </w:pPr>
      <w:r>
        <w:rPr>
          <w:sz w:val="24"/>
          <w:szCs w:val="24"/>
        </w:rPr>
        <w:t xml:space="preserve">Úrad </w:t>
      </w:r>
      <w:r w:rsidR="00ED07FF">
        <w:rPr>
          <w:sz w:val="24"/>
          <w:szCs w:val="24"/>
        </w:rPr>
        <w:t xml:space="preserve">navrhol </w:t>
      </w:r>
      <w:r w:rsidR="00751F70">
        <w:rPr>
          <w:sz w:val="24"/>
          <w:szCs w:val="24"/>
        </w:rPr>
        <w:t xml:space="preserve">uložiť </w:t>
      </w:r>
      <w:r w:rsidR="00ED07FF">
        <w:rPr>
          <w:sz w:val="24"/>
          <w:szCs w:val="24"/>
        </w:rPr>
        <w:t xml:space="preserve">rovnaké povinnosti pre všetky významné podniky a to vrátane povinnosti prístupu. Relevantný trh č. 3 je definovaný ako </w:t>
      </w:r>
      <w:r w:rsidR="00B96596">
        <w:rPr>
          <w:sz w:val="24"/>
          <w:szCs w:val="24"/>
        </w:rPr>
        <w:t>veľkoobchodná služb</w:t>
      </w:r>
      <w:r w:rsidR="007E640C">
        <w:rPr>
          <w:sz w:val="24"/>
          <w:szCs w:val="24"/>
        </w:rPr>
        <w:t>a</w:t>
      </w:r>
      <w:r w:rsidR="00B96596">
        <w:rPr>
          <w:sz w:val="24"/>
          <w:szCs w:val="24"/>
        </w:rPr>
        <w:t xml:space="preserve"> </w:t>
      </w:r>
      <w:r w:rsidR="00ED07FF">
        <w:rPr>
          <w:sz w:val="24"/>
          <w:szCs w:val="24"/>
        </w:rPr>
        <w:t>ukončovani</w:t>
      </w:r>
      <w:r w:rsidR="00B96596">
        <w:rPr>
          <w:sz w:val="24"/>
          <w:szCs w:val="24"/>
        </w:rPr>
        <w:t>a</w:t>
      </w:r>
      <w:r w:rsidR="00ED07FF">
        <w:rPr>
          <w:sz w:val="24"/>
          <w:szCs w:val="24"/>
        </w:rPr>
        <w:t xml:space="preserve"> volania v pevnom umiestnení, preto </w:t>
      </w:r>
      <w:r w:rsidR="00B96596">
        <w:rPr>
          <w:sz w:val="24"/>
          <w:szCs w:val="24"/>
        </w:rPr>
        <w:t xml:space="preserve">sa </w:t>
      </w:r>
      <w:r w:rsidR="00ED07FF">
        <w:rPr>
          <w:sz w:val="24"/>
          <w:szCs w:val="24"/>
        </w:rPr>
        <w:t xml:space="preserve">aj uložené povinnosti vzťahujú na poskytovanie predmetnej služby. </w:t>
      </w:r>
    </w:p>
    <w:p w:rsidR="00CA54FC" w:rsidRDefault="00CA54FC" w:rsidP="00DE66FD">
      <w:pPr>
        <w:spacing w:line="276" w:lineRule="auto"/>
        <w:jc w:val="both"/>
        <w:rPr>
          <w:sz w:val="24"/>
          <w:szCs w:val="24"/>
        </w:rPr>
      </w:pPr>
    </w:p>
    <w:p w:rsidR="00ED07FF" w:rsidRDefault="00595926" w:rsidP="00DE66FD">
      <w:pPr>
        <w:spacing w:line="276" w:lineRule="auto"/>
        <w:jc w:val="both"/>
        <w:rPr>
          <w:sz w:val="24"/>
          <w:szCs w:val="24"/>
        </w:rPr>
      </w:pPr>
      <w:r>
        <w:rPr>
          <w:sz w:val="24"/>
          <w:szCs w:val="24"/>
        </w:rPr>
        <w:t xml:space="preserve">Úrad </w:t>
      </w:r>
      <w:r w:rsidR="00BE4FA0">
        <w:rPr>
          <w:sz w:val="24"/>
          <w:szCs w:val="24"/>
        </w:rPr>
        <w:t xml:space="preserve">v súlade so zákonom a </w:t>
      </w:r>
      <w:r>
        <w:rPr>
          <w:sz w:val="24"/>
          <w:szCs w:val="24"/>
        </w:rPr>
        <w:t>n</w:t>
      </w:r>
      <w:r w:rsidR="00ED07FF">
        <w:rPr>
          <w:sz w:val="24"/>
          <w:szCs w:val="24"/>
        </w:rPr>
        <w:t>a základe pripomienky spoločnosti Orange</w:t>
      </w:r>
      <w:r>
        <w:rPr>
          <w:sz w:val="24"/>
          <w:szCs w:val="24"/>
        </w:rPr>
        <w:t xml:space="preserve">, aby </w:t>
      </w:r>
      <w:r>
        <w:rPr>
          <w:rStyle w:val="OdsekChar"/>
          <w:rFonts w:ascii="Arial" w:eastAsiaTheme="minorEastAsia" w:hAnsi="Arial" w:cs="Arial"/>
          <w:sz w:val="24"/>
          <w:szCs w:val="24"/>
        </w:rPr>
        <w:t>zamedzil nedorozumeniu a obávanej regulácii nad rámec tohto trhu a želanej regulácie,</w:t>
      </w:r>
      <w:r w:rsidR="00ED07FF">
        <w:rPr>
          <w:sz w:val="24"/>
          <w:szCs w:val="24"/>
        </w:rPr>
        <w:t xml:space="preserve"> navrhovanú povinnosť </w:t>
      </w:r>
      <w:r>
        <w:rPr>
          <w:sz w:val="24"/>
          <w:szCs w:val="24"/>
        </w:rPr>
        <w:t xml:space="preserve">v časti III.2.2 Návrh povinností pre podniky s významným vplyvom na relevantnom trhu č. 3 analýzy </w:t>
      </w:r>
      <w:r w:rsidR="004E6429">
        <w:rPr>
          <w:sz w:val="24"/>
          <w:szCs w:val="24"/>
        </w:rPr>
        <w:t xml:space="preserve">v písm. c) </w:t>
      </w:r>
      <w:r w:rsidR="00ED07FF">
        <w:rPr>
          <w:sz w:val="24"/>
          <w:szCs w:val="24"/>
        </w:rPr>
        <w:t>upravil nasledovne:</w:t>
      </w:r>
    </w:p>
    <w:p w:rsidR="004E6429" w:rsidRDefault="004E6429" w:rsidP="00DE66FD">
      <w:pPr>
        <w:spacing w:line="276" w:lineRule="auto"/>
        <w:jc w:val="both"/>
        <w:rPr>
          <w:sz w:val="24"/>
          <w:szCs w:val="24"/>
        </w:rPr>
      </w:pPr>
    </w:p>
    <w:p w:rsidR="004E6429" w:rsidRDefault="004E6429" w:rsidP="004E6429">
      <w:pPr>
        <w:pStyle w:val="Odsek"/>
        <w:numPr>
          <w:ilvl w:val="2"/>
          <w:numId w:val="7"/>
        </w:numPr>
        <w:spacing w:before="0" w:line="276" w:lineRule="auto"/>
        <w:ind w:right="-108"/>
        <w:rPr>
          <w:rFonts w:ascii="Arial" w:hAnsi="Arial" w:cs="Arial"/>
          <w:sz w:val="24"/>
          <w:szCs w:val="24"/>
          <w:lang w:eastAsia="en-US"/>
        </w:rPr>
      </w:pPr>
      <w:r>
        <w:rPr>
          <w:rFonts w:ascii="Arial" w:hAnsi="Arial" w:cs="Arial"/>
          <w:sz w:val="24"/>
          <w:szCs w:val="24"/>
          <w:lang w:eastAsia="en-US"/>
        </w:rPr>
        <w:t>„</w:t>
      </w:r>
      <w:r w:rsidRPr="00FB30B3">
        <w:rPr>
          <w:rFonts w:ascii="Arial" w:hAnsi="Arial" w:cs="Arial"/>
          <w:sz w:val="24"/>
          <w:szCs w:val="24"/>
          <w:lang w:eastAsia="en-US"/>
        </w:rPr>
        <w:t>povinnosť prístupu k určitým sieťovým prostriedkom podľa § 2</w:t>
      </w:r>
      <w:r>
        <w:rPr>
          <w:rFonts w:ascii="Arial" w:hAnsi="Arial" w:cs="Arial"/>
          <w:sz w:val="24"/>
          <w:szCs w:val="24"/>
          <w:lang w:eastAsia="en-US"/>
        </w:rPr>
        <w:t>2</w:t>
      </w:r>
      <w:r w:rsidRPr="00FB30B3">
        <w:rPr>
          <w:rFonts w:ascii="Arial" w:hAnsi="Arial" w:cs="Arial"/>
          <w:sz w:val="24"/>
          <w:szCs w:val="24"/>
          <w:lang w:eastAsia="en-US"/>
        </w:rPr>
        <w:t xml:space="preserve"> </w:t>
      </w:r>
      <w:r>
        <w:rPr>
          <w:rFonts w:ascii="Arial" w:hAnsi="Arial" w:cs="Arial"/>
          <w:sz w:val="24"/>
          <w:szCs w:val="24"/>
          <w:lang w:eastAsia="en-US"/>
        </w:rPr>
        <w:t>zákona o elektronických komunikáciách</w:t>
      </w:r>
      <w:r w:rsidRPr="00FB30B3">
        <w:rPr>
          <w:rFonts w:ascii="Arial" w:hAnsi="Arial" w:cs="Arial"/>
          <w:sz w:val="24"/>
          <w:szCs w:val="24"/>
          <w:lang w:eastAsia="en-US"/>
        </w:rPr>
        <w:t xml:space="preserve">. Významný podnik je povinný </w:t>
      </w:r>
      <w:r>
        <w:rPr>
          <w:rFonts w:ascii="Arial" w:hAnsi="Arial" w:cs="Arial"/>
          <w:sz w:val="24"/>
          <w:szCs w:val="24"/>
          <w:lang w:eastAsia="en-US"/>
        </w:rPr>
        <w:t>splni</w:t>
      </w:r>
      <w:r w:rsidRPr="00FB30B3">
        <w:rPr>
          <w:rFonts w:ascii="Arial" w:hAnsi="Arial" w:cs="Arial"/>
          <w:sz w:val="24"/>
          <w:szCs w:val="24"/>
          <w:lang w:eastAsia="en-US"/>
        </w:rPr>
        <w:t xml:space="preserve">ť odôvodnenú a opodstatnenú žiadosť </w:t>
      </w:r>
      <w:r>
        <w:rPr>
          <w:rFonts w:ascii="Arial" w:hAnsi="Arial" w:cs="Arial"/>
          <w:sz w:val="24"/>
          <w:szCs w:val="24"/>
          <w:lang w:eastAsia="en-US"/>
        </w:rPr>
        <w:t>na</w:t>
      </w:r>
      <w:r w:rsidRPr="00FB30B3">
        <w:rPr>
          <w:rFonts w:ascii="Arial" w:hAnsi="Arial" w:cs="Arial"/>
          <w:sz w:val="24"/>
          <w:szCs w:val="24"/>
          <w:lang w:eastAsia="en-US"/>
        </w:rPr>
        <w:t xml:space="preserve"> používanie určitých prvkov siete a pridružených  </w:t>
      </w:r>
      <w:r w:rsidRPr="00FB30B3">
        <w:rPr>
          <w:rFonts w:ascii="Arial" w:hAnsi="Arial" w:cs="Arial"/>
          <w:sz w:val="24"/>
          <w:szCs w:val="24"/>
          <w:lang w:eastAsia="en-US"/>
        </w:rPr>
        <w:lastRenderedPageBreak/>
        <w:t>prostriedkov a</w:t>
      </w:r>
      <w:r>
        <w:rPr>
          <w:rFonts w:ascii="Arial" w:hAnsi="Arial" w:cs="Arial"/>
          <w:sz w:val="24"/>
          <w:szCs w:val="24"/>
          <w:lang w:eastAsia="en-US"/>
        </w:rPr>
        <w:t xml:space="preserve"> odôvodnenú a opodstatnenú žiadosť </w:t>
      </w:r>
      <w:r w:rsidRPr="00FB30B3">
        <w:rPr>
          <w:rFonts w:ascii="Arial" w:hAnsi="Arial" w:cs="Arial"/>
          <w:sz w:val="24"/>
          <w:szCs w:val="24"/>
          <w:lang w:eastAsia="en-US"/>
        </w:rPr>
        <w:t>o prepojenie sietí</w:t>
      </w:r>
      <w:r>
        <w:rPr>
          <w:rFonts w:ascii="Arial" w:hAnsi="Arial" w:cs="Arial"/>
          <w:sz w:val="24"/>
          <w:szCs w:val="24"/>
          <w:lang w:eastAsia="en-US"/>
        </w:rPr>
        <w:t>. Významná podnik je ďalej povinný</w:t>
      </w:r>
      <w:r w:rsidRPr="00FB30B3">
        <w:rPr>
          <w:rFonts w:ascii="Arial" w:hAnsi="Arial" w:cs="Arial"/>
          <w:sz w:val="24"/>
          <w:szCs w:val="24"/>
          <w:lang w:eastAsia="en-US"/>
        </w:rPr>
        <w:t>:</w:t>
      </w:r>
    </w:p>
    <w:p w:rsidR="004E6429" w:rsidRPr="00FB30B3" w:rsidRDefault="004E6429" w:rsidP="004E6429">
      <w:pPr>
        <w:pStyle w:val="Odsek"/>
        <w:spacing w:before="0" w:line="276" w:lineRule="auto"/>
        <w:ind w:right="-108" w:firstLine="0"/>
        <w:rPr>
          <w:rStyle w:val="OdsekChar"/>
          <w:rFonts w:ascii="Arial" w:hAnsi="Arial" w:cs="Arial"/>
          <w:sz w:val="24"/>
          <w:szCs w:val="24"/>
        </w:rPr>
      </w:pPr>
    </w:p>
    <w:p w:rsidR="004E6429" w:rsidRDefault="004E6429" w:rsidP="004E6429">
      <w:pPr>
        <w:pStyle w:val="Odsek"/>
        <w:numPr>
          <w:ilvl w:val="0"/>
          <w:numId w:val="8"/>
        </w:numPr>
        <w:spacing w:before="0" w:line="276" w:lineRule="auto"/>
        <w:ind w:right="-108"/>
        <w:rPr>
          <w:rStyle w:val="OdsekChar"/>
          <w:rFonts w:ascii="Arial" w:hAnsi="Arial" w:cs="Arial"/>
          <w:sz w:val="24"/>
          <w:szCs w:val="24"/>
        </w:rPr>
      </w:pPr>
      <w:r>
        <w:rPr>
          <w:rStyle w:val="OdsekChar"/>
          <w:rFonts w:ascii="Arial" w:hAnsi="Arial" w:cs="Arial"/>
          <w:sz w:val="24"/>
          <w:szCs w:val="24"/>
        </w:rPr>
        <w:t>v</w:t>
      </w:r>
      <w:r w:rsidRPr="00FB30B3">
        <w:rPr>
          <w:rStyle w:val="OdsekChar"/>
          <w:rFonts w:ascii="Arial" w:hAnsi="Arial" w:cs="Arial"/>
          <w:sz w:val="24"/>
          <w:szCs w:val="24"/>
        </w:rPr>
        <w:t>iesť rokovania v dobrej viere s inými podnikmi žiadajúcimi o prepojenie siete</w:t>
      </w:r>
      <w:r>
        <w:rPr>
          <w:rStyle w:val="OdsekChar"/>
          <w:rFonts w:ascii="Arial" w:hAnsi="Arial" w:cs="Arial"/>
          <w:sz w:val="24"/>
          <w:szCs w:val="24"/>
        </w:rPr>
        <w:t>,</w:t>
      </w:r>
    </w:p>
    <w:p w:rsidR="00BE4FA0" w:rsidRPr="00C70C5C" w:rsidRDefault="00BE4FA0" w:rsidP="00094697">
      <w:pPr>
        <w:pStyle w:val="Odsek"/>
        <w:numPr>
          <w:ilvl w:val="0"/>
          <w:numId w:val="8"/>
        </w:numPr>
        <w:spacing w:before="0" w:line="276" w:lineRule="auto"/>
        <w:rPr>
          <w:rStyle w:val="OdsekChar"/>
          <w:rFonts w:ascii="Arial" w:eastAsiaTheme="minorEastAsia" w:hAnsi="Arial" w:cs="Arial"/>
          <w:sz w:val="24"/>
          <w:szCs w:val="24"/>
        </w:rPr>
      </w:pPr>
      <w:r w:rsidRPr="00094697">
        <w:rPr>
          <w:rStyle w:val="OdsekChar"/>
          <w:rFonts w:ascii="Arial" w:hAnsi="Arial" w:cs="Arial"/>
          <w:sz w:val="24"/>
          <w:szCs w:val="24"/>
        </w:rPr>
        <w:t xml:space="preserve">umožniť spoločné </w:t>
      </w:r>
      <w:r w:rsidRPr="00094697">
        <w:rPr>
          <w:rStyle w:val="OdsekChar"/>
          <w:rFonts w:ascii="Arial" w:eastAsiaTheme="minorEastAsia" w:hAnsi="Arial" w:cs="Arial"/>
          <w:sz w:val="24"/>
          <w:szCs w:val="24"/>
        </w:rPr>
        <w:t>umiestnenie alebo iné formy spoločného používania pridružených prostriedkov</w:t>
      </w:r>
      <w:r w:rsidRPr="00C27329">
        <w:rPr>
          <w:rStyle w:val="OdsekChar"/>
          <w:rFonts w:ascii="Arial" w:hAnsi="Arial" w:cs="Arial"/>
          <w:sz w:val="24"/>
          <w:szCs w:val="24"/>
        </w:rPr>
        <w:t>, ktoré</w:t>
      </w:r>
      <w:r w:rsidRPr="00094697">
        <w:rPr>
          <w:rStyle w:val="OdsekChar"/>
          <w:rFonts w:ascii="Arial" w:hAnsi="Arial" w:cs="Arial"/>
          <w:sz w:val="24"/>
          <w:szCs w:val="24"/>
        </w:rPr>
        <w:t xml:space="preserve"> </w:t>
      </w:r>
      <w:r w:rsidRPr="00C70C5C">
        <w:rPr>
          <w:rStyle w:val="OdsekChar"/>
          <w:rFonts w:ascii="Arial" w:hAnsi="Arial" w:cs="Arial"/>
          <w:sz w:val="24"/>
          <w:szCs w:val="24"/>
        </w:rPr>
        <w:t xml:space="preserve">sú potrebné pre </w:t>
      </w:r>
      <w:r w:rsidRPr="00094697">
        <w:rPr>
          <w:rStyle w:val="OdsekChar"/>
          <w:rFonts w:ascii="Arial" w:eastAsiaTheme="minorEastAsia" w:hAnsi="Arial" w:cs="Arial"/>
          <w:sz w:val="24"/>
          <w:szCs w:val="24"/>
        </w:rPr>
        <w:t>poskytovanie veľkoobchodnej služby ukončovania volania v pevnom mieste pripojenia</w:t>
      </w:r>
      <w:r w:rsidRPr="00C70C5C">
        <w:rPr>
          <w:rStyle w:val="OdsekChar"/>
          <w:rFonts w:ascii="Arial" w:hAnsi="Arial" w:cs="Arial"/>
          <w:sz w:val="24"/>
          <w:szCs w:val="24"/>
        </w:rPr>
        <w:t>,</w:t>
      </w:r>
    </w:p>
    <w:p w:rsidR="00BE4FA0" w:rsidRDefault="00BE4FA0" w:rsidP="004E6429">
      <w:pPr>
        <w:pStyle w:val="Odsek"/>
        <w:numPr>
          <w:ilvl w:val="0"/>
          <w:numId w:val="8"/>
        </w:numPr>
        <w:spacing w:before="0" w:line="276" w:lineRule="auto"/>
        <w:ind w:right="-108"/>
        <w:rPr>
          <w:rStyle w:val="OdsekChar"/>
          <w:rFonts w:ascii="Arial" w:hAnsi="Arial" w:cs="Arial"/>
          <w:sz w:val="24"/>
          <w:szCs w:val="24"/>
        </w:rPr>
      </w:pPr>
      <w:r>
        <w:rPr>
          <w:rStyle w:val="OdsekChar"/>
          <w:rFonts w:ascii="Arial" w:hAnsi="Arial" w:cs="Arial"/>
          <w:sz w:val="24"/>
          <w:szCs w:val="24"/>
        </w:rPr>
        <w:t>p</w:t>
      </w:r>
      <w:r w:rsidRPr="00FB30B3">
        <w:rPr>
          <w:rStyle w:val="OdsekChar"/>
          <w:rFonts w:ascii="Arial" w:hAnsi="Arial" w:cs="Arial"/>
          <w:sz w:val="24"/>
          <w:szCs w:val="24"/>
        </w:rPr>
        <w:t>repojiť siete alebo sieťové prostriedky</w:t>
      </w:r>
      <w:r>
        <w:rPr>
          <w:rStyle w:val="OdsekChar"/>
          <w:rFonts w:ascii="Arial" w:hAnsi="Arial" w:cs="Arial"/>
          <w:sz w:val="24"/>
          <w:szCs w:val="24"/>
        </w:rPr>
        <w:t>.“</w:t>
      </w:r>
    </w:p>
    <w:p w:rsidR="004E6429" w:rsidRDefault="004E6429" w:rsidP="00094697">
      <w:pPr>
        <w:pStyle w:val="Odsek"/>
        <w:tabs>
          <w:tab w:val="clear" w:pos="644"/>
        </w:tabs>
        <w:spacing w:before="0" w:line="276" w:lineRule="auto"/>
        <w:ind w:left="1985" w:right="-108" w:firstLine="0"/>
        <w:rPr>
          <w:rStyle w:val="OdsekChar"/>
          <w:rFonts w:ascii="Arial" w:hAnsi="Arial" w:cs="Arial"/>
          <w:sz w:val="24"/>
          <w:szCs w:val="24"/>
        </w:rPr>
      </w:pPr>
    </w:p>
    <w:p w:rsidR="00CA54FC" w:rsidRDefault="00CA54FC" w:rsidP="00094697">
      <w:pPr>
        <w:pStyle w:val="Odsek"/>
        <w:tabs>
          <w:tab w:val="clear" w:pos="644"/>
        </w:tabs>
        <w:spacing w:before="0" w:line="276" w:lineRule="auto"/>
        <w:ind w:right="-108"/>
        <w:rPr>
          <w:rStyle w:val="OdsekChar"/>
          <w:rFonts w:ascii="Arial" w:hAnsi="Arial" w:cs="Arial"/>
          <w:sz w:val="24"/>
          <w:szCs w:val="24"/>
        </w:rPr>
      </w:pPr>
    </w:p>
    <w:p w:rsidR="004E6429" w:rsidRDefault="004E6429" w:rsidP="00DE66FD">
      <w:pPr>
        <w:spacing w:line="276" w:lineRule="auto"/>
        <w:jc w:val="both"/>
        <w:rPr>
          <w:b/>
          <w:sz w:val="24"/>
          <w:szCs w:val="24"/>
        </w:rPr>
      </w:pPr>
    </w:p>
    <w:p w:rsidR="00841CB8" w:rsidRPr="008D65C6" w:rsidRDefault="00841CB8" w:rsidP="00DE66FD">
      <w:pPr>
        <w:spacing w:line="276" w:lineRule="auto"/>
        <w:jc w:val="both"/>
        <w:rPr>
          <w:b/>
          <w:sz w:val="24"/>
          <w:szCs w:val="24"/>
        </w:rPr>
      </w:pPr>
      <w:r w:rsidRPr="008D65C6">
        <w:rPr>
          <w:b/>
          <w:sz w:val="24"/>
          <w:szCs w:val="24"/>
        </w:rPr>
        <w:t xml:space="preserve">Pripomienka </w:t>
      </w:r>
      <w:r w:rsidR="00E61412">
        <w:rPr>
          <w:b/>
          <w:sz w:val="24"/>
          <w:szCs w:val="24"/>
        </w:rPr>
        <w:t>a</w:t>
      </w:r>
      <w:r w:rsidRPr="008D65C6">
        <w:rPr>
          <w:b/>
          <w:sz w:val="24"/>
          <w:szCs w:val="24"/>
        </w:rPr>
        <w:t xml:space="preserve">kceptovaná </w:t>
      </w:r>
    </w:p>
    <w:p w:rsidR="00C23F5C" w:rsidRDefault="00C23F5C" w:rsidP="00DE66FD">
      <w:pPr>
        <w:shd w:val="clear" w:color="auto" w:fill="FFFFFF"/>
        <w:spacing w:line="276" w:lineRule="auto"/>
        <w:rPr>
          <w:sz w:val="24"/>
          <w:szCs w:val="24"/>
        </w:rPr>
      </w:pPr>
    </w:p>
    <w:p w:rsidR="001B3B1C" w:rsidRDefault="001B3B1C" w:rsidP="00DE66FD">
      <w:pPr>
        <w:shd w:val="clear" w:color="auto" w:fill="FFFFFF"/>
        <w:spacing w:line="276" w:lineRule="auto"/>
        <w:jc w:val="both"/>
        <w:rPr>
          <w:rFonts w:eastAsia="Times New Roman"/>
          <w:b/>
          <w:color w:val="000000"/>
          <w:spacing w:val="-7"/>
          <w:sz w:val="24"/>
          <w:szCs w:val="24"/>
        </w:rPr>
      </w:pPr>
    </w:p>
    <w:p w:rsidR="00E96704" w:rsidRDefault="00E96704" w:rsidP="00DE66FD">
      <w:pPr>
        <w:shd w:val="clear" w:color="auto" w:fill="FFFFFF"/>
        <w:spacing w:line="276" w:lineRule="auto"/>
        <w:ind w:right="7"/>
        <w:jc w:val="both"/>
        <w:rPr>
          <w:rFonts w:eastAsia="Times New Roman"/>
          <w:color w:val="000000"/>
          <w:spacing w:val="-1"/>
          <w:sz w:val="24"/>
          <w:szCs w:val="24"/>
        </w:rPr>
      </w:pPr>
    </w:p>
    <w:p w:rsidR="00E96704" w:rsidRDefault="00E96704" w:rsidP="00DE66FD">
      <w:pPr>
        <w:shd w:val="clear" w:color="auto" w:fill="FFFFFF"/>
        <w:spacing w:line="276" w:lineRule="auto"/>
        <w:ind w:right="7"/>
        <w:jc w:val="both"/>
        <w:rPr>
          <w:rFonts w:eastAsia="Times New Roman"/>
          <w:color w:val="000000"/>
          <w:spacing w:val="-1"/>
          <w:sz w:val="24"/>
          <w:szCs w:val="24"/>
        </w:rPr>
      </w:pPr>
    </w:p>
    <w:p w:rsidR="00E96704" w:rsidRDefault="00E96704" w:rsidP="00DE66FD">
      <w:pPr>
        <w:shd w:val="clear" w:color="auto" w:fill="FFFFFF"/>
        <w:spacing w:line="276" w:lineRule="auto"/>
        <w:ind w:right="7"/>
        <w:jc w:val="both"/>
        <w:rPr>
          <w:rFonts w:eastAsia="Times New Roman"/>
          <w:color w:val="000000"/>
          <w:spacing w:val="-1"/>
          <w:sz w:val="24"/>
          <w:szCs w:val="24"/>
        </w:rPr>
      </w:pPr>
    </w:p>
    <w:p w:rsidR="00772353" w:rsidRDefault="00C43FE5" w:rsidP="00DE66FD">
      <w:pPr>
        <w:shd w:val="clear" w:color="auto" w:fill="FFFFFF"/>
        <w:spacing w:line="276" w:lineRule="auto"/>
        <w:ind w:right="7"/>
        <w:jc w:val="both"/>
        <w:rPr>
          <w:sz w:val="24"/>
          <w:szCs w:val="24"/>
        </w:rPr>
      </w:pPr>
      <w:r>
        <w:rPr>
          <w:rFonts w:eastAsia="Times New Roman"/>
          <w:color w:val="000000"/>
          <w:spacing w:val="-1"/>
          <w:sz w:val="24"/>
          <w:szCs w:val="24"/>
        </w:rPr>
        <w:t>V</w:t>
      </w:r>
      <w:r w:rsidR="00595926">
        <w:rPr>
          <w:rFonts w:eastAsia="Times New Roman"/>
          <w:color w:val="000000"/>
          <w:spacing w:val="-1"/>
          <w:sz w:val="24"/>
          <w:szCs w:val="24"/>
        </w:rPr>
        <w:t> </w:t>
      </w:r>
      <w:r w:rsidR="00772353">
        <w:rPr>
          <w:rFonts w:eastAsia="Times New Roman"/>
          <w:color w:val="000000"/>
          <w:spacing w:val="-1"/>
          <w:sz w:val="24"/>
          <w:szCs w:val="24"/>
        </w:rPr>
        <w:t xml:space="preserve">Bratislave </w:t>
      </w:r>
      <w:r w:rsidR="00772353">
        <w:rPr>
          <w:sz w:val="24"/>
          <w:szCs w:val="24"/>
        </w:rPr>
        <w:t xml:space="preserve">dňa </w:t>
      </w:r>
      <w:r w:rsidR="002E7515">
        <w:rPr>
          <w:sz w:val="24"/>
          <w:szCs w:val="24"/>
        </w:rPr>
        <w:t>26</w:t>
      </w:r>
      <w:r w:rsidR="00772353">
        <w:rPr>
          <w:sz w:val="24"/>
          <w:szCs w:val="24"/>
        </w:rPr>
        <w:t>.</w:t>
      </w:r>
      <w:r w:rsidR="00E96704">
        <w:rPr>
          <w:sz w:val="24"/>
          <w:szCs w:val="24"/>
        </w:rPr>
        <w:t>0</w:t>
      </w:r>
      <w:r w:rsidR="002E7515">
        <w:rPr>
          <w:sz w:val="24"/>
          <w:szCs w:val="24"/>
        </w:rPr>
        <w:t>4</w:t>
      </w:r>
      <w:bookmarkStart w:id="0" w:name="_GoBack"/>
      <w:bookmarkEnd w:id="0"/>
      <w:r w:rsidR="00772353">
        <w:rPr>
          <w:sz w:val="24"/>
          <w:szCs w:val="24"/>
        </w:rPr>
        <w:t>.201</w:t>
      </w:r>
      <w:r w:rsidR="00E96704">
        <w:rPr>
          <w:sz w:val="24"/>
          <w:szCs w:val="24"/>
        </w:rPr>
        <w:t>3</w:t>
      </w:r>
    </w:p>
    <w:p w:rsidR="00E0546C" w:rsidRDefault="00E0546C" w:rsidP="00DE66FD">
      <w:pPr>
        <w:shd w:val="clear" w:color="auto" w:fill="FFFFFF"/>
        <w:spacing w:line="276" w:lineRule="auto"/>
        <w:ind w:right="7"/>
        <w:jc w:val="both"/>
        <w:rPr>
          <w:sz w:val="24"/>
          <w:szCs w:val="24"/>
        </w:rPr>
      </w:pPr>
    </w:p>
    <w:p w:rsidR="00E0546C" w:rsidRDefault="00E0546C" w:rsidP="00DE66FD">
      <w:pPr>
        <w:shd w:val="clear" w:color="auto" w:fill="FFFFFF"/>
        <w:spacing w:line="276" w:lineRule="auto"/>
        <w:ind w:right="7"/>
        <w:jc w:val="both"/>
        <w:rPr>
          <w:sz w:val="24"/>
          <w:szCs w:val="24"/>
        </w:rPr>
      </w:pPr>
    </w:p>
    <w:p w:rsidR="00E0546C" w:rsidRDefault="00E0546C" w:rsidP="00DE66FD">
      <w:pPr>
        <w:spacing w:line="276" w:lineRule="auto"/>
        <w:rPr>
          <w:sz w:val="24"/>
          <w:szCs w:val="24"/>
        </w:rPr>
      </w:pPr>
      <w:r w:rsidRPr="006F2373">
        <w:rPr>
          <w:sz w:val="24"/>
          <w:szCs w:val="24"/>
        </w:rPr>
        <w:tab/>
      </w:r>
      <w:r w:rsidRPr="006F2373">
        <w:rPr>
          <w:sz w:val="24"/>
          <w:szCs w:val="24"/>
        </w:rPr>
        <w:tab/>
      </w:r>
      <w:r w:rsidRPr="006F2373">
        <w:rPr>
          <w:sz w:val="24"/>
          <w:szCs w:val="24"/>
        </w:rPr>
        <w:tab/>
      </w:r>
      <w:r w:rsidRPr="006F2373">
        <w:rPr>
          <w:sz w:val="24"/>
          <w:szCs w:val="24"/>
        </w:rPr>
        <w:tab/>
      </w:r>
      <w:r w:rsidRPr="006F2373">
        <w:rPr>
          <w:sz w:val="24"/>
          <w:szCs w:val="24"/>
        </w:rPr>
        <w:tab/>
      </w:r>
      <w:r w:rsidRPr="006F2373">
        <w:rPr>
          <w:sz w:val="24"/>
          <w:szCs w:val="24"/>
        </w:rPr>
        <w:tab/>
      </w:r>
      <w:r w:rsidRPr="006F2373">
        <w:rPr>
          <w:sz w:val="24"/>
          <w:szCs w:val="24"/>
        </w:rPr>
        <w:tab/>
        <w:t>Ing. Jana Kopečná</w:t>
      </w:r>
    </w:p>
    <w:p w:rsidR="00E0546C" w:rsidRDefault="00E0546C" w:rsidP="00DE66FD">
      <w:pPr>
        <w:spacing w:line="276" w:lineRule="auto"/>
        <w:rPr>
          <w:sz w:val="24"/>
          <w:szCs w:val="24"/>
        </w:rPr>
      </w:pPr>
      <w:r>
        <w:rPr>
          <w:sz w:val="24"/>
          <w:szCs w:val="24"/>
        </w:rPr>
        <w:tab/>
      </w:r>
      <w:r>
        <w:rPr>
          <w:sz w:val="24"/>
          <w:szCs w:val="24"/>
        </w:rPr>
        <w:tab/>
        <w:t xml:space="preserve">    </w:t>
      </w:r>
      <w:r>
        <w:rPr>
          <w:sz w:val="24"/>
          <w:szCs w:val="24"/>
        </w:rPr>
        <w:tab/>
        <w:t xml:space="preserve">                                 riaditeľka </w:t>
      </w:r>
    </w:p>
    <w:p w:rsidR="00E0546C" w:rsidRPr="006F2373" w:rsidRDefault="00E0546C" w:rsidP="00DE66FD">
      <w:pPr>
        <w:spacing w:line="276" w:lineRule="auto"/>
        <w:rPr>
          <w:sz w:val="24"/>
          <w:szCs w:val="24"/>
        </w:rPr>
      </w:pPr>
      <w:r>
        <w:rPr>
          <w:sz w:val="24"/>
          <w:szCs w:val="24"/>
        </w:rPr>
        <w:t xml:space="preserve">                                           odboru ekonomickej regulácie  </w:t>
      </w:r>
    </w:p>
    <w:p w:rsidR="00E0546C" w:rsidRPr="004C4CE3" w:rsidRDefault="00E0546C" w:rsidP="00DE66FD">
      <w:pPr>
        <w:shd w:val="clear" w:color="auto" w:fill="FFFFFF"/>
        <w:spacing w:line="276" w:lineRule="auto"/>
        <w:ind w:right="7"/>
        <w:jc w:val="both"/>
        <w:rPr>
          <w:sz w:val="24"/>
          <w:szCs w:val="24"/>
        </w:rPr>
      </w:pPr>
    </w:p>
    <w:sectPr w:rsidR="00E0546C" w:rsidRPr="004C4CE3" w:rsidSect="00126DE6">
      <w:footerReference w:type="default" r:id="rId10"/>
      <w:pgSz w:w="11909" w:h="16834"/>
      <w:pgMar w:top="1440" w:right="1419" w:bottom="720" w:left="1455"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1B" w:rsidRDefault="00CC7F1B" w:rsidP="00772353">
      <w:r>
        <w:separator/>
      </w:r>
    </w:p>
  </w:endnote>
  <w:endnote w:type="continuationSeparator" w:id="0">
    <w:p w:rsidR="00CC7F1B" w:rsidRDefault="00CC7F1B" w:rsidP="0077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90952"/>
      <w:docPartObj>
        <w:docPartGallery w:val="Page Numbers (Bottom of Page)"/>
        <w:docPartUnique/>
      </w:docPartObj>
    </w:sdtPr>
    <w:sdtEndPr/>
    <w:sdtContent>
      <w:p w:rsidR="005D0245" w:rsidRDefault="005D0245">
        <w:pPr>
          <w:pStyle w:val="Pta"/>
          <w:jc w:val="right"/>
        </w:pPr>
        <w:r>
          <w:fldChar w:fldCharType="begin"/>
        </w:r>
        <w:r>
          <w:instrText>PAGE   \* MERGEFORMAT</w:instrText>
        </w:r>
        <w:r>
          <w:fldChar w:fldCharType="separate"/>
        </w:r>
        <w:r w:rsidR="002E7515">
          <w:rPr>
            <w:noProof/>
          </w:rPr>
          <w:t>6</w:t>
        </w:r>
        <w:r>
          <w:fldChar w:fldCharType="end"/>
        </w:r>
      </w:p>
    </w:sdtContent>
  </w:sdt>
  <w:p w:rsidR="005D0245" w:rsidRDefault="005D02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1B" w:rsidRDefault="00CC7F1B" w:rsidP="00772353">
      <w:r>
        <w:separator/>
      </w:r>
    </w:p>
  </w:footnote>
  <w:footnote w:type="continuationSeparator" w:id="0">
    <w:p w:rsidR="00CC7F1B" w:rsidRDefault="00CC7F1B" w:rsidP="00772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A11"/>
    <w:multiLevelType w:val="hybridMultilevel"/>
    <w:tmpl w:val="6BD66D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C06925"/>
    <w:multiLevelType w:val="hybridMultilevel"/>
    <w:tmpl w:val="57606A24"/>
    <w:lvl w:ilvl="0" w:tplc="CF06CE1E">
      <w:start w:val="2"/>
      <w:numFmt w:val="lowerLetter"/>
      <w:lvlText w:val="%1)"/>
      <w:lvlJc w:val="left"/>
      <w:pPr>
        <w:tabs>
          <w:tab w:val="num" w:pos="680"/>
        </w:tabs>
        <w:ind w:left="680" w:hanging="396"/>
      </w:pPr>
      <w:rPr>
        <w:rFonts w:ascii="Arial" w:hAnsi="Arial" w:hint="default"/>
        <w:b w:val="0"/>
        <w:i w:val="0"/>
        <w:color w:val="auto"/>
        <w:sz w:val="24"/>
      </w:rPr>
    </w:lvl>
    <w:lvl w:ilvl="1" w:tplc="C8A4E63C">
      <w:start w:val="1"/>
      <w:numFmt w:val="bullet"/>
      <w:lvlText w:val="→"/>
      <w:lvlJc w:val="left"/>
      <w:pPr>
        <w:tabs>
          <w:tab w:val="num" w:pos="1440"/>
        </w:tabs>
        <w:ind w:left="1440" w:hanging="360"/>
      </w:pPr>
      <w:rPr>
        <w:rFonts w:ascii="Courier New" w:hAnsi="Courier New" w:hint="default"/>
        <w:color w:val="auto"/>
      </w:rPr>
    </w:lvl>
    <w:lvl w:ilvl="2" w:tplc="E4702BCA">
      <w:start w:val="3"/>
      <w:numFmt w:val="lowerLetter"/>
      <w:lvlText w:val="%3)"/>
      <w:lvlJc w:val="left"/>
      <w:pPr>
        <w:tabs>
          <w:tab w:val="num" w:pos="680"/>
        </w:tabs>
        <w:ind w:left="680" w:hanging="396"/>
      </w:pPr>
      <w:rPr>
        <w:rFonts w:ascii="Arial" w:hAnsi="Arial" w:hint="default"/>
        <w:b w:val="0"/>
        <w:i w:val="0"/>
        <w:color w:val="auto"/>
        <w:sz w:val="24"/>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FFF0F7D"/>
    <w:multiLevelType w:val="hybridMultilevel"/>
    <w:tmpl w:val="604840D6"/>
    <w:lvl w:ilvl="0" w:tplc="6D98FEE6">
      <w:start w:val="1"/>
      <w:numFmt w:val="upperRoman"/>
      <w:lvlText w:val="%1."/>
      <w:lvlJc w:val="left"/>
      <w:pPr>
        <w:tabs>
          <w:tab w:val="num" w:pos="1985"/>
        </w:tabs>
        <w:ind w:left="1985" w:hanging="56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39E7905"/>
    <w:multiLevelType w:val="hybridMultilevel"/>
    <w:tmpl w:val="D46A85B6"/>
    <w:lvl w:ilvl="0" w:tplc="0AAE3B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D18B7"/>
    <w:multiLevelType w:val="hybridMultilevel"/>
    <w:tmpl w:val="144CF302"/>
    <w:lvl w:ilvl="0" w:tplc="564CF1A0">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5A641D5"/>
    <w:multiLevelType w:val="hybridMultilevel"/>
    <w:tmpl w:val="6C30021C"/>
    <w:lvl w:ilvl="0" w:tplc="5B8A5524">
      <w:start w:val="1"/>
      <w:numFmt w:val="decimal"/>
      <w:lvlText w:val="%1."/>
      <w:lvlJc w:val="left"/>
      <w:pPr>
        <w:ind w:left="382" w:hanging="360"/>
      </w:pPr>
      <w:rPr>
        <w:rFonts w:hint="default"/>
        <w:b w:val="0"/>
        <w:color w:val="000000"/>
      </w:rPr>
    </w:lvl>
    <w:lvl w:ilvl="1" w:tplc="041B0019" w:tentative="1">
      <w:start w:val="1"/>
      <w:numFmt w:val="lowerLetter"/>
      <w:lvlText w:val="%2."/>
      <w:lvlJc w:val="left"/>
      <w:pPr>
        <w:ind w:left="1102" w:hanging="360"/>
      </w:pPr>
    </w:lvl>
    <w:lvl w:ilvl="2" w:tplc="041B001B" w:tentative="1">
      <w:start w:val="1"/>
      <w:numFmt w:val="lowerRoman"/>
      <w:lvlText w:val="%3."/>
      <w:lvlJc w:val="right"/>
      <w:pPr>
        <w:ind w:left="1822" w:hanging="180"/>
      </w:pPr>
    </w:lvl>
    <w:lvl w:ilvl="3" w:tplc="041B000F" w:tentative="1">
      <w:start w:val="1"/>
      <w:numFmt w:val="decimal"/>
      <w:lvlText w:val="%4."/>
      <w:lvlJc w:val="left"/>
      <w:pPr>
        <w:ind w:left="2542" w:hanging="360"/>
      </w:pPr>
    </w:lvl>
    <w:lvl w:ilvl="4" w:tplc="041B0019" w:tentative="1">
      <w:start w:val="1"/>
      <w:numFmt w:val="lowerLetter"/>
      <w:lvlText w:val="%5."/>
      <w:lvlJc w:val="left"/>
      <w:pPr>
        <w:ind w:left="3262" w:hanging="360"/>
      </w:pPr>
    </w:lvl>
    <w:lvl w:ilvl="5" w:tplc="041B001B" w:tentative="1">
      <w:start w:val="1"/>
      <w:numFmt w:val="lowerRoman"/>
      <w:lvlText w:val="%6."/>
      <w:lvlJc w:val="right"/>
      <w:pPr>
        <w:ind w:left="3982" w:hanging="180"/>
      </w:pPr>
    </w:lvl>
    <w:lvl w:ilvl="6" w:tplc="041B000F" w:tentative="1">
      <w:start w:val="1"/>
      <w:numFmt w:val="decimal"/>
      <w:lvlText w:val="%7."/>
      <w:lvlJc w:val="left"/>
      <w:pPr>
        <w:ind w:left="4702" w:hanging="360"/>
      </w:pPr>
    </w:lvl>
    <w:lvl w:ilvl="7" w:tplc="041B0019" w:tentative="1">
      <w:start w:val="1"/>
      <w:numFmt w:val="lowerLetter"/>
      <w:lvlText w:val="%8."/>
      <w:lvlJc w:val="left"/>
      <w:pPr>
        <w:ind w:left="5422" w:hanging="360"/>
      </w:pPr>
    </w:lvl>
    <w:lvl w:ilvl="8" w:tplc="041B001B" w:tentative="1">
      <w:start w:val="1"/>
      <w:numFmt w:val="lowerRoman"/>
      <w:lvlText w:val="%9."/>
      <w:lvlJc w:val="right"/>
      <w:pPr>
        <w:ind w:left="6142" w:hanging="180"/>
      </w:pPr>
    </w:lvl>
  </w:abstractNum>
  <w:abstractNum w:abstractNumId="6">
    <w:nsid w:val="46DF1A8E"/>
    <w:multiLevelType w:val="hybridMultilevel"/>
    <w:tmpl w:val="604840D6"/>
    <w:lvl w:ilvl="0" w:tplc="6D98FEE6">
      <w:start w:val="1"/>
      <w:numFmt w:val="upperRoman"/>
      <w:lvlText w:val="%1."/>
      <w:lvlJc w:val="left"/>
      <w:pPr>
        <w:tabs>
          <w:tab w:val="num" w:pos="1985"/>
        </w:tabs>
        <w:ind w:left="1985" w:hanging="56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48176A53"/>
    <w:multiLevelType w:val="hybridMultilevel"/>
    <w:tmpl w:val="B61AB9AE"/>
    <w:lvl w:ilvl="0" w:tplc="5EF09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AE9141D"/>
    <w:multiLevelType w:val="hybridMultilevel"/>
    <w:tmpl w:val="8788FA80"/>
    <w:lvl w:ilvl="0" w:tplc="041B0001">
      <w:start w:val="1"/>
      <w:numFmt w:val="bullet"/>
      <w:lvlText w:val=""/>
      <w:lvlJc w:val="left"/>
      <w:pPr>
        <w:ind w:left="1431" w:hanging="360"/>
      </w:pPr>
      <w:rPr>
        <w:rFonts w:ascii="Symbol" w:hAnsi="Symbol" w:hint="default"/>
      </w:rPr>
    </w:lvl>
    <w:lvl w:ilvl="1" w:tplc="041B0003" w:tentative="1">
      <w:start w:val="1"/>
      <w:numFmt w:val="bullet"/>
      <w:lvlText w:val="o"/>
      <w:lvlJc w:val="left"/>
      <w:pPr>
        <w:ind w:left="2151" w:hanging="360"/>
      </w:pPr>
      <w:rPr>
        <w:rFonts w:ascii="Courier New" w:hAnsi="Courier New" w:cs="Courier New" w:hint="default"/>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9">
    <w:nsid w:val="531210BF"/>
    <w:multiLevelType w:val="hybridMultilevel"/>
    <w:tmpl w:val="604840D6"/>
    <w:lvl w:ilvl="0" w:tplc="6D98FEE6">
      <w:start w:val="1"/>
      <w:numFmt w:val="upperRoman"/>
      <w:lvlText w:val="%1."/>
      <w:lvlJc w:val="left"/>
      <w:pPr>
        <w:tabs>
          <w:tab w:val="num" w:pos="1985"/>
        </w:tabs>
        <w:ind w:left="1985" w:hanging="567"/>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3"/>
  </w:num>
  <w:num w:numId="5">
    <w:abstractNumId w:val="0"/>
  </w:num>
  <w:num w:numId="6">
    <w:abstractNumId w:val="4"/>
  </w:num>
  <w:num w:numId="7">
    <w:abstractNumId w:val="1"/>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7"/>
    <w:rsid w:val="00015186"/>
    <w:rsid w:val="00022CD8"/>
    <w:rsid w:val="000378BA"/>
    <w:rsid w:val="00094697"/>
    <w:rsid w:val="000A79A1"/>
    <w:rsid w:val="000C11BC"/>
    <w:rsid w:val="000C1670"/>
    <w:rsid w:val="000C26A4"/>
    <w:rsid w:val="000D235D"/>
    <w:rsid w:val="000D471B"/>
    <w:rsid w:val="000D490A"/>
    <w:rsid w:val="000D5B4C"/>
    <w:rsid w:val="000D61F1"/>
    <w:rsid w:val="000D78F1"/>
    <w:rsid w:val="00111069"/>
    <w:rsid w:val="00120408"/>
    <w:rsid w:val="00126DE6"/>
    <w:rsid w:val="0013146C"/>
    <w:rsid w:val="001332C3"/>
    <w:rsid w:val="0013624C"/>
    <w:rsid w:val="00137756"/>
    <w:rsid w:val="001458C7"/>
    <w:rsid w:val="00157AF2"/>
    <w:rsid w:val="00163B7F"/>
    <w:rsid w:val="0016449D"/>
    <w:rsid w:val="0017506C"/>
    <w:rsid w:val="00176BC4"/>
    <w:rsid w:val="001808B8"/>
    <w:rsid w:val="001963A6"/>
    <w:rsid w:val="001B31A0"/>
    <w:rsid w:val="001B3B1C"/>
    <w:rsid w:val="001C4935"/>
    <w:rsid w:val="001C7CED"/>
    <w:rsid w:val="001D798A"/>
    <w:rsid w:val="001F53EF"/>
    <w:rsid w:val="00211E17"/>
    <w:rsid w:val="00212935"/>
    <w:rsid w:val="00217CED"/>
    <w:rsid w:val="00222A58"/>
    <w:rsid w:val="00247E8D"/>
    <w:rsid w:val="00251BF4"/>
    <w:rsid w:val="00257CCA"/>
    <w:rsid w:val="00261C08"/>
    <w:rsid w:val="00266989"/>
    <w:rsid w:val="00284311"/>
    <w:rsid w:val="002843B3"/>
    <w:rsid w:val="002E6417"/>
    <w:rsid w:val="002E7515"/>
    <w:rsid w:val="002F2F07"/>
    <w:rsid w:val="003615DE"/>
    <w:rsid w:val="00383FDF"/>
    <w:rsid w:val="0039633E"/>
    <w:rsid w:val="003A12DB"/>
    <w:rsid w:val="003D63B4"/>
    <w:rsid w:val="003E141B"/>
    <w:rsid w:val="00401655"/>
    <w:rsid w:val="0040775A"/>
    <w:rsid w:val="00411E57"/>
    <w:rsid w:val="00412238"/>
    <w:rsid w:val="004229B1"/>
    <w:rsid w:val="00426CED"/>
    <w:rsid w:val="00433D7E"/>
    <w:rsid w:val="00434C93"/>
    <w:rsid w:val="00441BDB"/>
    <w:rsid w:val="004426B2"/>
    <w:rsid w:val="00442B84"/>
    <w:rsid w:val="004526A8"/>
    <w:rsid w:val="0045273C"/>
    <w:rsid w:val="00457CCD"/>
    <w:rsid w:val="00461C97"/>
    <w:rsid w:val="00491A29"/>
    <w:rsid w:val="004A5F61"/>
    <w:rsid w:val="004B035F"/>
    <w:rsid w:val="004C4CE3"/>
    <w:rsid w:val="004E5AF0"/>
    <w:rsid w:val="004E6429"/>
    <w:rsid w:val="004F3DF3"/>
    <w:rsid w:val="00512451"/>
    <w:rsid w:val="00513861"/>
    <w:rsid w:val="00531112"/>
    <w:rsid w:val="00534A74"/>
    <w:rsid w:val="00555489"/>
    <w:rsid w:val="005800A3"/>
    <w:rsid w:val="005869EE"/>
    <w:rsid w:val="00595926"/>
    <w:rsid w:val="005959E2"/>
    <w:rsid w:val="005A3CF5"/>
    <w:rsid w:val="005C1429"/>
    <w:rsid w:val="005D0245"/>
    <w:rsid w:val="005F7C36"/>
    <w:rsid w:val="00612C92"/>
    <w:rsid w:val="00640020"/>
    <w:rsid w:val="0064314D"/>
    <w:rsid w:val="006448A9"/>
    <w:rsid w:val="0065554A"/>
    <w:rsid w:val="00677820"/>
    <w:rsid w:val="006A1590"/>
    <w:rsid w:val="006B3273"/>
    <w:rsid w:val="006B4BDF"/>
    <w:rsid w:val="006C2B36"/>
    <w:rsid w:val="006D0A08"/>
    <w:rsid w:val="006F307E"/>
    <w:rsid w:val="00703A93"/>
    <w:rsid w:val="00712E58"/>
    <w:rsid w:val="0072693E"/>
    <w:rsid w:val="007459B0"/>
    <w:rsid w:val="00751F70"/>
    <w:rsid w:val="00764836"/>
    <w:rsid w:val="00766EF4"/>
    <w:rsid w:val="00772353"/>
    <w:rsid w:val="00781BBE"/>
    <w:rsid w:val="007A7969"/>
    <w:rsid w:val="007B72DA"/>
    <w:rsid w:val="007C0C01"/>
    <w:rsid w:val="007D1C2A"/>
    <w:rsid w:val="007D56FE"/>
    <w:rsid w:val="007E640C"/>
    <w:rsid w:val="0082558C"/>
    <w:rsid w:val="00830629"/>
    <w:rsid w:val="0083082E"/>
    <w:rsid w:val="00832101"/>
    <w:rsid w:val="00841CB8"/>
    <w:rsid w:val="00843078"/>
    <w:rsid w:val="0084618E"/>
    <w:rsid w:val="0084683E"/>
    <w:rsid w:val="0085750C"/>
    <w:rsid w:val="008604A6"/>
    <w:rsid w:val="008642B4"/>
    <w:rsid w:val="0087205A"/>
    <w:rsid w:val="008B3272"/>
    <w:rsid w:val="008D65C6"/>
    <w:rsid w:val="009012BE"/>
    <w:rsid w:val="009012D3"/>
    <w:rsid w:val="00905FFC"/>
    <w:rsid w:val="0093549B"/>
    <w:rsid w:val="00971976"/>
    <w:rsid w:val="009A30F7"/>
    <w:rsid w:val="009B2715"/>
    <w:rsid w:val="009D2768"/>
    <w:rsid w:val="009E0E53"/>
    <w:rsid w:val="009F3051"/>
    <w:rsid w:val="00A05A5A"/>
    <w:rsid w:val="00A310D2"/>
    <w:rsid w:val="00A324DA"/>
    <w:rsid w:val="00A3759A"/>
    <w:rsid w:val="00A4190F"/>
    <w:rsid w:val="00A4659A"/>
    <w:rsid w:val="00A47E1A"/>
    <w:rsid w:val="00A50C8B"/>
    <w:rsid w:val="00A7525B"/>
    <w:rsid w:val="00A86135"/>
    <w:rsid w:val="00AB5A0C"/>
    <w:rsid w:val="00AB7482"/>
    <w:rsid w:val="00AE1F38"/>
    <w:rsid w:val="00AE4ECB"/>
    <w:rsid w:val="00AE55A1"/>
    <w:rsid w:val="00AF7AC5"/>
    <w:rsid w:val="00B07E84"/>
    <w:rsid w:val="00B16446"/>
    <w:rsid w:val="00B2535B"/>
    <w:rsid w:val="00B35020"/>
    <w:rsid w:val="00B40C93"/>
    <w:rsid w:val="00B5524A"/>
    <w:rsid w:val="00B66A8D"/>
    <w:rsid w:val="00B771DF"/>
    <w:rsid w:val="00B96596"/>
    <w:rsid w:val="00BC2CA9"/>
    <w:rsid w:val="00BC7C4F"/>
    <w:rsid w:val="00BE3B40"/>
    <w:rsid w:val="00BE4FA0"/>
    <w:rsid w:val="00C07E12"/>
    <w:rsid w:val="00C23F5C"/>
    <w:rsid w:val="00C26F0F"/>
    <w:rsid w:val="00C41F83"/>
    <w:rsid w:val="00C42080"/>
    <w:rsid w:val="00C43FE5"/>
    <w:rsid w:val="00C50112"/>
    <w:rsid w:val="00C540C0"/>
    <w:rsid w:val="00C73F61"/>
    <w:rsid w:val="00C811FE"/>
    <w:rsid w:val="00C87D15"/>
    <w:rsid w:val="00CA54FC"/>
    <w:rsid w:val="00CC7F1B"/>
    <w:rsid w:val="00CF3FC3"/>
    <w:rsid w:val="00CF45A7"/>
    <w:rsid w:val="00D045E1"/>
    <w:rsid w:val="00D062E1"/>
    <w:rsid w:val="00D2182B"/>
    <w:rsid w:val="00D321D7"/>
    <w:rsid w:val="00D40428"/>
    <w:rsid w:val="00D40A1C"/>
    <w:rsid w:val="00D54100"/>
    <w:rsid w:val="00D832E7"/>
    <w:rsid w:val="00D86D09"/>
    <w:rsid w:val="00DB3A9E"/>
    <w:rsid w:val="00DC1BD0"/>
    <w:rsid w:val="00DC46F6"/>
    <w:rsid w:val="00DC7F8D"/>
    <w:rsid w:val="00DD292F"/>
    <w:rsid w:val="00DE66FD"/>
    <w:rsid w:val="00E0223B"/>
    <w:rsid w:val="00E02EE2"/>
    <w:rsid w:val="00E0546C"/>
    <w:rsid w:val="00E1503E"/>
    <w:rsid w:val="00E21043"/>
    <w:rsid w:val="00E41C21"/>
    <w:rsid w:val="00E44FE9"/>
    <w:rsid w:val="00E560AD"/>
    <w:rsid w:val="00E61412"/>
    <w:rsid w:val="00E640CC"/>
    <w:rsid w:val="00E75F52"/>
    <w:rsid w:val="00E823F1"/>
    <w:rsid w:val="00E84B21"/>
    <w:rsid w:val="00E96704"/>
    <w:rsid w:val="00EA32F0"/>
    <w:rsid w:val="00EB20D0"/>
    <w:rsid w:val="00EC320E"/>
    <w:rsid w:val="00ED07FF"/>
    <w:rsid w:val="00EE373C"/>
    <w:rsid w:val="00EE3799"/>
    <w:rsid w:val="00F024E9"/>
    <w:rsid w:val="00F1431F"/>
    <w:rsid w:val="00F173E7"/>
    <w:rsid w:val="00F303AF"/>
    <w:rsid w:val="00F3173F"/>
    <w:rsid w:val="00F37B5F"/>
    <w:rsid w:val="00F446D1"/>
    <w:rsid w:val="00F52F1B"/>
    <w:rsid w:val="00F5607E"/>
    <w:rsid w:val="00F617D0"/>
    <w:rsid w:val="00F752E1"/>
    <w:rsid w:val="00F82512"/>
    <w:rsid w:val="00FC0F9A"/>
    <w:rsid w:val="00FC7822"/>
    <w:rsid w:val="00FD323F"/>
    <w:rsid w:val="00FF0F58"/>
    <w:rsid w:val="00FF53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D0A08"/>
    <w:rPr>
      <w:color w:val="0000FF"/>
      <w:u w:val="single"/>
    </w:rPr>
  </w:style>
  <w:style w:type="paragraph" w:customStyle="1" w:styleId="Odsek">
    <w:name w:val="Odsek"/>
    <w:basedOn w:val="Normlny"/>
    <w:link w:val="OdsekChar"/>
    <w:rsid w:val="006D0A08"/>
    <w:pPr>
      <w:widowControl/>
      <w:tabs>
        <w:tab w:val="num" w:pos="644"/>
        <w:tab w:val="left" w:pos="680"/>
      </w:tabs>
      <w:autoSpaceDE/>
      <w:autoSpaceDN/>
      <w:adjustRightInd/>
      <w:spacing w:before="240"/>
      <w:ind w:firstLine="284"/>
      <w:jc w:val="both"/>
    </w:pPr>
    <w:rPr>
      <w:rFonts w:ascii="Times New Roman" w:eastAsia="Times New Roman" w:hAnsi="Times New Roman" w:cs="Times New Roman"/>
      <w:lang w:eastAsia="cs-CZ"/>
    </w:rPr>
  </w:style>
  <w:style w:type="character" w:customStyle="1" w:styleId="OdsekChar">
    <w:name w:val="Odsek Char"/>
    <w:link w:val="Odsek"/>
    <w:rsid w:val="006D0A08"/>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434C93"/>
    <w:pPr>
      <w:ind w:left="720"/>
      <w:contextualSpacing/>
    </w:pPr>
  </w:style>
  <w:style w:type="paragraph" w:styleId="Hlavika">
    <w:name w:val="header"/>
    <w:basedOn w:val="Normlny"/>
    <w:link w:val="HlavikaChar"/>
    <w:rsid w:val="004C4CE3"/>
    <w:pPr>
      <w:widowControl/>
      <w:tabs>
        <w:tab w:val="center" w:pos="4536"/>
        <w:tab w:val="right" w:pos="9072"/>
      </w:tabs>
      <w:autoSpaceDE/>
      <w:autoSpaceDN/>
      <w:adjustRightInd/>
    </w:pPr>
    <w:rPr>
      <w:rFonts w:ascii="Times New Roman" w:eastAsia="Times New Roman" w:hAnsi="Times New Roman" w:cs="Times New Roman"/>
    </w:rPr>
  </w:style>
  <w:style w:type="character" w:customStyle="1" w:styleId="HlavikaChar">
    <w:name w:val="Hlavička Char"/>
    <w:basedOn w:val="Predvolenpsmoodseku"/>
    <w:link w:val="Hlavika"/>
    <w:rsid w:val="004C4CE3"/>
    <w:rPr>
      <w:rFonts w:ascii="Times New Roman" w:eastAsia="Times New Roman" w:hAnsi="Times New Roman" w:cs="Times New Roman"/>
      <w:sz w:val="20"/>
      <w:szCs w:val="20"/>
    </w:rPr>
  </w:style>
  <w:style w:type="paragraph" w:styleId="Pta">
    <w:name w:val="footer"/>
    <w:basedOn w:val="Normlny"/>
    <w:link w:val="PtaChar"/>
    <w:uiPriority w:val="99"/>
    <w:unhideWhenUsed/>
    <w:rsid w:val="00772353"/>
    <w:pPr>
      <w:tabs>
        <w:tab w:val="center" w:pos="4536"/>
        <w:tab w:val="right" w:pos="9072"/>
      </w:tabs>
    </w:pPr>
  </w:style>
  <w:style w:type="character" w:customStyle="1" w:styleId="PtaChar">
    <w:name w:val="Päta Char"/>
    <w:basedOn w:val="Predvolenpsmoodseku"/>
    <w:link w:val="Pta"/>
    <w:uiPriority w:val="99"/>
    <w:rsid w:val="00772353"/>
    <w:rPr>
      <w:rFonts w:ascii="Arial" w:hAnsi="Arial" w:cs="Arial"/>
      <w:sz w:val="20"/>
      <w:szCs w:val="20"/>
    </w:rPr>
  </w:style>
  <w:style w:type="character" w:styleId="Odkaznakomentr">
    <w:name w:val="annotation reference"/>
    <w:basedOn w:val="Predvolenpsmoodseku"/>
    <w:uiPriority w:val="99"/>
    <w:semiHidden/>
    <w:unhideWhenUsed/>
    <w:rsid w:val="00D54100"/>
    <w:rPr>
      <w:sz w:val="16"/>
      <w:szCs w:val="16"/>
    </w:rPr>
  </w:style>
  <w:style w:type="paragraph" w:styleId="Textkomentra">
    <w:name w:val="annotation text"/>
    <w:basedOn w:val="Normlny"/>
    <w:link w:val="TextkomentraChar"/>
    <w:uiPriority w:val="99"/>
    <w:semiHidden/>
    <w:unhideWhenUsed/>
    <w:rsid w:val="00D54100"/>
  </w:style>
  <w:style w:type="character" w:customStyle="1" w:styleId="TextkomentraChar">
    <w:name w:val="Text komentára Char"/>
    <w:basedOn w:val="Predvolenpsmoodseku"/>
    <w:link w:val="Textkomentra"/>
    <w:uiPriority w:val="99"/>
    <w:semiHidden/>
    <w:rsid w:val="00D54100"/>
    <w:rPr>
      <w:rFonts w:ascii="Arial" w:hAnsi="Arial" w:cs="Arial"/>
      <w:sz w:val="20"/>
      <w:szCs w:val="20"/>
    </w:rPr>
  </w:style>
  <w:style w:type="paragraph" w:styleId="Predmetkomentra">
    <w:name w:val="annotation subject"/>
    <w:basedOn w:val="Textkomentra"/>
    <w:next w:val="Textkomentra"/>
    <w:link w:val="PredmetkomentraChar"/>
    <w:uiPriority w:val="99"/>
    <w:semiHidden/>
    <w:unhideWhenUsed/>
    <w:rsid w:val="00D54100"/>
    <w:rPr>
      <w:b/>
      <w:bCs/>
    </w:rPr>
  </w:style>
  <w:style w:type="character" w:customStyle="1" w:styleId="PredmetkomentraChar">
    <w:name w:val="Predmet komentára Char"/>
    <w:basedOn w:val="TextkomentraChar"/>
    <w:link w:val="Predmetkomentra"/>
    <w:uiPriority w:val="99"/>
    <w:semiHidden/>
    <w:rsid w:val="00D54100"/>
    <w:rPr>
      <w:rFonts w:ascii="Arial" w:hAnsi="Arial" w:cs="Arial"/>
      <w:b/>
      <w:bCs/>
      <w:sz w:val="20"/>
      <w:szCs w:val="20"/>
    </w:rPr>
  </w:style>
  <w:style w:type="paragraph" w:styleId="Textbubliny">
    <w:name w:val="Balloon Text"/>
    <w:basedOn w:val="Normlny"/>
    <w:link w:val="TextbublinyChar"/>
    <w:uiPriority w:val="99"/>
    <w:semiHidden/>
    <w:unhideWhenUsed/>
    <w:rsid w:val="00D54100"/>
    <w:rPr>
      <w:rFonts w:ascii="Tahoma" w:hAnsi="Tahoma" w:cs="Tahoma"/>
      <w:sz w:val="16"/>
      <w:szCs w:val="16"/>
    </w:rPr>
  </w:style>
  <w:style w:type="character" w:customStyle="1" w:styleId="TextbublinyChar">
    <w:name w:val="Text bubliny Char"/>
    <w:basedOn w:val="Predvolenpsmoodseku"/>
    <w:link w:val="Textbubliny"/>
    <w:uiPriority w:val="99"/>
    <w:semiHidden/>
    <w:rsid w:val="00D54100"/>
    <w:rPr>
      <w:rFonts w:ascii="Tahoma" w:hAnsi="Tahoma" w:cs="Tahoma"/>
      <w:sz w:val="16"/>
      <w:szCs w:val="16"/>
    </w:rPr>
  </w:style>
  <w:style w:type="paragraph" w:customStyle="1" w:styleId="Default">
    <w:name w:val="Default"/>
    <w:rsid w:val="00E0223B"/>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120408"/>
    <w:pPr>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D0A08"/>
    <w:rPr>
      <w:color w:val="0000FF"/>
      <w:u w:val="single"/>
    </w:rPr>
  </w:style>
  <w:style w:type="paragraph" w:customStyle="1" w:styleId="Odsek">
    <w:name w:val="Odsek"/>
    <w:basedOn w:val="Normlny"/>
    <w:link w:val="OdsekChar"/>
    <w:rsid w:val="006D0A08"/>
    <w:pPr>
      <w:widowControl/>
      <w:tabs>
        <w:tab w:val="num" w:pos="644"/>
        <w:tab w:val="left" w:pos="680"/>
      </w:tabs>
      <w:autoSpaceDE/>
      <w:autoSpaceDN/>
      <w:adjustRightInd/>
      <w:spacing w:before="240"/>
      <w:ind w:firstLine="284"/>
      <w:jc w:val="both"/>
    </w:pPr>
    <w:rPr>
      <w:rFonts w:ascii="Times New Roman" w:eastAsia="Times New Roman" w:hAnsi="Times New Roman" w:cs="Times New Roman"/>
      <w:lang w:eastAsia="cs-CZ"/>
    </w:rPr>
  </w:style>
  <w:style w:type="character" w:customStyle="1" w:styleId="OdsekChar">
    <w:name w:val="Odsek Char"/>
    <w:link w:val="Odsek"/>
    <w:rsid w:val="006D0A08"/>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434C93"/>
    <w:pPr>
      <w:ind w:left="720"/>
      <w:contextualSpacing/>
    </w:pPr>
  </w:style>
  <w:style w:type="paragraph" w:styleId="Hlavika">
    <w:name w:val="header"/>
    <w:basedOn w:val="Normlny"/>
    <w:link w:val="HlavikaChar"/>
    <w:rsid w:val="004C4CE3"/>
    <w:pPr>
      <w:widowControl/>
      <w:tabs>
        <w:tab w:val="center" w:pos="4536"/>
        <w:tab w:val="right" w:pos="9072"/>
      </w:tabs>
      <w:autoSpaceDE/>
      <w:autoSpaceDN/>
      <w:adjustRightInd/>
    </w:pPr>
    <w:rPr>
      <w:rFonts w:ascii="Times New Roman" w:eastAsia="Times New Roman" w:hAnsi="Times New Roman" w:cs="Times New Roman"/>
    </w:rPr>
  </w:style>
  <w:style w:type="character" w:customStyle="1" w:styleId="HlavikaChar">
    <w:name w:val="Hlavička Char"/>
    <w:basedOn w:val="Predvolenpsmoodseku"/>
    <w:link w:val="Hlavika"/>
    <w:rsid w:val="004C4CE3"/>
    <w:rPr>
      <w:rFonts w:ascii="Times New Roman" w:eastAsia="Times New Roman" w:hAnsi="Times New Roman" w:cs="Times New Roman"/>
      <w:sz w:val="20"/>
      <w:szCs w:val="20"/>
    </w:rPr>
  </w:style>
  <w:style w:type="paragraph" w:styleId="Pta">
    <w:name w:val="footer"/>
    <w:basedOn w:val="Normlny"/>
    <w:link w:val="PtaChar"/>
    <w:uiPriority w:val="99"/>
    <w:unhideWhenUsed/>
    <w:rsid w:val="00772353"/>
    <w:pPr>
      <w:tabs>
        <w:tab w:val="center" w:pos="4536"/>
        <w:tab w:val="right" w:pos="9072"/>
      </w:tabs>
    </w:pPr>
  </w:style>
  <w:style w:type="character" w:customStyle="1" w:styleId="PtaChar">
    <w:name w:val="Päta Char"/>
    <w:basedOn w:val="Predvolenpsmoodseku"/>
    <w:link w:val="Pta"/>
    <w:uiPriority w:val="99"/>
    <w:rsid w:val="00772353"/>
    <w:rPr>
      <w:rFonts w:ascii="Arial" w:hAnsi="Arial" w:cs="Arial"/>
      <w:sz w:val="20"/>
      <w:szCs w:val="20"/>
    </w:rPr>
  </w:style>
  <w:style w:type="character" w:styleId="Odkaznakomentr">
    <w:name w:val="annotation reference"/>
    <w:basedOn w:val="Predvolenpsmoodseku"/>
    <w:uiPriority w:val="99"/>
    <w:semiHidden/>
    <w:unhideWhenUsed/>
    <w:rsid w:val="00D54100"/>
    <w:rPr>
      <w:sz w:val="16"/>
      <w:szCs w:val="16"/>
    </w:rPr>
  </w:style>
  <w:style w:type="paragraph" w:styleId="Textkomentra">
    <w:name w:val="annotation text"/>
    <w:basedOn w:val="Normlny"/>
    <w:link w:val="TextkomentraChar"/>
    <w:uiPriority w:val="99"/>
    <w:semiHidden/>
    <w:unhideWhenUsed/>
    <w:rsid w:val="00D54100"/>
  </w:style>
  <w:style w:type="character" w:customStyle="1" w:styleId="TextkomentraChar">
    <w:name w:val="Text komentára Char"/>
    <w:basedOn w:val="Predvolenpsmoodseku"/>
    <w:link w:val="Textkomentra"/>
    <w:uiPriority w:val="99"/>
    <w:semiHidden/>
    <w:rsid w:val="00D54100"/>
    <w:rPr>
      <w:rFonts w:ascii="Arial" w:hAnsi="Arial" w:cs="Arial"/>
      <w:sz w:val="20"/>
      <w:szCs w:val="20"/>
    </w:rPr>
  </w:style>
  <w:style w:type="paragraph" w:styleId="Predmetkomentra">
    <w:name w:val="annotation subject"/>
    <w:basedOn w:val="Textkomentra"/>
    <w:next w:val="Textkomentra"/>
    <w:link w:val="PredmetkomentraChar"/>
    <w:uiPriority w:val="99"/>
    <w:semiHidden/>
    <w:unhideWhenUsed/>
    <w:rsid w:val="00D54100"/>
    <w:rPr>
      <w:b/>
      <w:bCs/>
    </w:rPr>
  </w:style>
  <w:style w:type="character" w:customStyle="1" w:styleId="PredmetkomentraChar">
    <w:name w:val="Predmet komentára Char"/>
    <w:basedOn w:val="TextkomentraChar"/>
    <w:link w:val="Predmetkomentra"/>
    <w:uiPriority w:val="99"/>
    <w:semiHidden/>
    <w:rsid w:val="00D54100"/>
    <w:rPr>
      <w:rFonts w:ascii="Arial" w:hAnsi="Arial" w:cs="Arial"/>
      <w:b/>
      <w:bCs/>
      <w:sz w:val="20"/>
      <w:szCs w:val="20"/>
    </w:rPr>
  </w:style>
  <w:style w:type="paragraph" w:styleId="Textbubliny">
    <w:name w:val="Balloon Text"/>
    <w:basedOn w:val="Normlny"/>
    <w:link w:val="TextbublinyChar"/>
    <w:uiPriority w:val="99"/>
    <w:semiHidden/>
    <w:unhideWhenUsed/>
    <w:rsid w:val="00D54100"/>
    <w:rPr>
      <w:rFonts w:ascii="Tahoma" w:hAnsi="Tahoma" w:cs="Tahoma"/>
      <w:sz w:val="16"/>
      <w:szCs w:val="16"/>
    </w:rPr>
  </w:style>
  <w:style w:type="character" w:customStyle="1" w:styleId="TextbublinyChar">
    <w:name w:val="Text bubliny Char"/>
    <w:basedOn w:val="Predvolenpsmoodseku"/>
    <w:link w:val="Textbubliny"/>
    <w:uiPriority w:val="99"/>
    <w:semiHidden/>
    <w:rsid w:val="00D54100"/>
    <w:rPr>
      <w:rFonts w:ascii="Tahoma" w:hAnsi="Tahoma" w:cs="Tahoma"/>
      <w:sz w:val="16"/>
      <w:szCs w:val="16"/>
    </w:rPr>
  </w:style>
  <w:style w:type="paragraph" w:customStyle="1" w:styleId="Default">
    <w:name w:val="Default"/>
    <w:rsid w:val="00E0223B"/>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120408"/>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8557">
      <w:bodyDiv w:val="1"/>
      <w:marLeft w:val="0"/>
      <w:marRight w:val="0"/>
      <w:marTop w:val="0"/>
      <w:marBottom w:val="0"/>
      <w:divBdr>
        <w:top w:val="none" w:sz="0" w:space="0" w:color="auto"/>
        <w:left w:val="none" w:sz="0" w:space="0" w:color="auto"/>
        <w:bottom w:val="none" w:sz="0" w:space="0" w:color="auto"/>
        <w:right w:val="none" w:sz="0" w:space="0" w:color="auto"/>
      </w:divBdr>
    </w:div>
    <w:div w:id="19837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off.gov.sk/data/files/3181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49AB-7139-4008-B9CD-63646BD5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2675</Words>
  <Characters>15249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Telekomunikačný úrad SR</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KRIŽANOVÁ Gabriela, Bc.</dc:creator>
  <cp:lastModifiedBy>OSTROŽLÍK Tomáš, Mgr.</cp:lastModifiedBy>
  <cp:revision>5</cp:revision>
  <cp:lastPrinted>2013-05-13T13:13:00Z</cp:lastPrinted>
  <dcterms:created xsi:type="dcterms:W3CDTF">2013-05-13T08:32:00Z</dcterms:created>
  <dcterms:modified xsi:type="dcterms:W3CDTF">2013-05-13T14:54:00Z</dcterms:modified>
</cp:coreProperties>
</file>